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6A" w:rsidRDefault="0069656A" w:rsidP="0069656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8F4AB94">
            <wp:extent cx="542290" cy="554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56A" w:rsidRDefault="0069656A" w:rsidP="0069656A">
      <w:pPr>
        <w:jc w:val="center"/>
        <w:rPr>
          <w:b/>
        </w:rPr>
      </w:pPr>
    </w:p>
    <w:p w:rsidR="009A1F29" w:rsidRDefault="009A1F29" w:rsidP="0069656A">
      <w:pPr>
        <w:jc w:val="center"/>
        <w:rPr>
          <w:b/>
        </w:rPr>
      </w:pPr>
    </w:p>
    <w:p w:rsidR="0069656A" w:rsidRPr="00727FBE" w:rsidRDefault="0069656A" w:rsidP="0069656A">
      <w:pPr>
        <w:jc w:val="center"/>
        <w:rPr>
          <w:b/>
        </w:rPr>
      </w:pPr>
      <w:r w:rsidRPr="00727FBE">
        <w:rPr>
          <w:b/>
        </w:rPr>
        <w:t xml:space="preserve">ŠVIETIMO INFORMACINIŲ TECHNOLOGIJŲ CENTRO DIREKTORIUS </w:t>
      </w:r>
    </w:p>
    <w:p w:rsidR="0069656A" w:rsidRDefault="0069656A" w:rsidP="0069656A">
      <w:pPr>
        <w:jc w:val="center"/>
        <w:rPr>
          <w:b/>
        </w:rPr>
      </w:pPr>
    </w:p>
    <w:p w:rsidR="0069656A" w:rsidRPr="00727FBE" w:rsidRDefault="0069656A" w:rsidP="0069656A">
      <w:pPr>
        <w:jc w:val="center"/>
        <w:rPr>
          <w:b/>
        </w:rPr>
      </w:pPr>
    </w:p>
    <w:p w:rsidR="0069656A" w:rsidRPr="00727FBE" w:rsidRDefault="0069656A" w:rsidP="0069656A">
      <w:pPr>
        <w:jc w:val="center"/>
        <w:rPr>
          <w:b/>
        </w:rPr>
      </w:pPr>
      <w:r w:rsidRPr="00727FBE">
        <w:rPr>
          <w:b/>
        </w:rPr>
        <w:t>ĮSAKYMAS</w:t>
      </w:r>
    </w:p>
    <w:p w:rsidR="0069656A" w:rsidRPr="00727FBE" w:rsidRDefault="0069656A" w:rsidP="0069656A">
      <w:pPr>
        <w:jc w:val="center"/>
        <w:rPr>
          <w:b/>
        </w:rPr>
      </w:pPr>
    </w:p>
    <w:p w:rsidR="0069656A" w:rsidRPr="00CD5C1C" w:rsidRDefault="0069656A" w:rsidP="00CD5C1C">
      <w:pPr>
        <w:pStyle w:val="CentrBold"/>
        <w:spacing w:line="283" w:lineRule="auto"/>
        <w:ind w:left="720"/>
        <w:rPr>
          <w:sz w:val="24"/>
          <w:szCs w:val="24"/>
        </w:rPr>
      </w:pPr>
      <w:r w:rsidRPr="00CD5C1C">
        <w:rPr>
          <w:sz w:val="24"/>
          <w:szCs w:val="24"/>
        </w:rPr>
        <w:t xml:space="preserve">DĖL Neformaliojo </w:t>
      </w:r>
      <w:r w:rsidR="00CD5C1C" w:rsidRPr="00CD5C1C">
        <w:rPr>
          <w:sz w:val="24"/>
          <w:szCs w:val="24"/>
        </w:rPr>
        <w:t xml:space="preserve">SUAUGUSIŲJŲ </w:t>
      </w:r>
      <w:r w:rsidRPr="00CD5C1C">
        <w:rPr>
          <w:sz w:val="24"/>
          <w:szCs w:val="24"/>
        </w:rPr>
        <w:t xml:space="preserve">švietimo programų </w:t>
      </w:r>
      <w:r w:rsidR="00CD5C1C" w:rsidRPr="00CD5C1C">
        <w:rPr>
          <w:sz w:val="24"/>
          <w:szCs w:val="24"/>
        </w:rPr>
        <w:t>T</w:t>
      </w:r>
      <w:r w:rsidRPr="00CD5C1C">
        <w:rPr>
          <w:sz w:val="24"/>
          <w:szCs w:val="24"/>
        </w:rPr>
        <w:t>obulin</w:t>
      </w:r>
      <w:r w:rsidR="00CD5C1C" w:rsidRPr="00CD5C1C">
        <w:rPr>
          <w:sz w:val="24"/>
          <w:szCs w:val="24"/>
        </w:rPr>
        <w:t>AMŲ</w:t>
      </w:r>
      <w:r w:rsidRPr="00CD5C1C">
        <w:rPr>
          <w:sz w:val="24"/>
          <w:szCs w:val="24"/>
        </w:rPr>
        <w:t xml:space="preserve"> </w:t>
      </w:r>
      <w:r w:rsidR="00A04F2A">
        <w:rPr>
          <w:sz w:val="24"/>
          <w:szCs w:val="24"/>
        </w:rPr>
        <w:t xml:space="preserve">VEIKLOS </w:t>
      </w:r>
      <w:r w:rsidRPr="00CD5C1C">
        <w:rPr>
          <w:sz w:val="24"/>
          <w:szCs w:val="24"/>
        </w:rPr>
        <w:t>kompetencijŲ</w:t>
      </w:r>
      <w:r w:rsidR="00CD5C1C" w:rsidRPr="00CD5C1C">
        <w:rPr>
          <w:sz w:val="24"/>
          <w:szCs w:val="24"/>
        </w:rPr>
        <w:t xml:space="preserve"> </w:t>
      </w:r>
      <w:r w:rsidRPr="00CD5C1C">
        <w:rPr>
          <w:sz w:val="24"/>
          <w:szCs w:val="24"/>
        </w:rPr>
        <w:t>KLASIFIKATORIAUS TVIRTINIMO</w:t>
      </w:r>
    </w:p>
    <w:p w:rsidR="0069656A" w:rsidRPr="00CD5C1C" w:rsidRDefault="0069656A" w:rsidP="0069656A">
      <w:pPr>
        <w:jc w:val="center"/>
        <w:rPr>
          <w:b/>
        </w:rPr>
      </w:pPr>
    </w:p>
    <w:p w:rsidR="0069656A" w:rsidRPr="00CD5C1C" w:rsidRDefault="008303F6" w:rsidP="0069656A">
      <w:pPr>
        <w:jc w:val="center"/>
      </w:pPr>
      <w:r>
        <w:t>2013 m. rugsėjo 18</w:t>
      </w:r>
      <w:r w:rsidR="0069656A" w:rsidRPr="00CD5C1C">
        <w:t xml:space="preserve"> d. Nr. V1-</w:t>
      </w:r>
      <w:r w:rsidR="00610AD1">
        <w:t>9</w:t>
      </w:r>
      <w:r>
        <w:t>7</w:t>
      </w:r>
    </w:p>
    <w:p w:rsidR="0069656A" w:rsidRPr="00CD5C1C" w:rsidRDefault="0069656A" w:rsidP="0069656A">
      <w:pPr>
        <w:jc w:val="center"/>
      </w:pPr>
      <w:r w:rsidRPr="00CD5C1C">
        <w:t>Vilnius</w:t>
      </w:r>
    </w:p>
    <w:p w:rsidR="0069656A" w:rsidRDefault="0069656A" w:rsidP="0069656A">
      <w:pPr>
        <w:jc w:val="center"/>
        <w:rPr>
          <w:b/>
        </w:rPr>
      </w:pPr>
    </w:p>
    <w:p w:rsidR="0069656A" w:rsidRDefault="0069656A" w:rsidP="0069656A">
      <w:pPr>
        <w:jc w:val="center"/>
        <w:rPr>
          <w:b/>
        </w:rPr>
      </w:pPr>
    </w:p>
    <w:p w:rsidR="0069656A" w:rsidRPr="00727FBE" w:rsidRDefault="0069656A" w:rsidP="0069656A">
      <w:pPr>
        <w:jc w:val="center"/>
        <w:rPr>
          <w:b/>
        </w:rPr>
      </w:pPr>
    </w:p>
    <w:p w:rsidR="0069656A" w:rsidRPr="003C2DC1" w:rsidRDefault="0069656A" w:rsidP="003269C9">
      <w:r w:rsidRPr="00727FBE">
        <w:tab/>
      </w:r>
      <w:r w:rsidRPr="003C2DC1">
        <w:t xml:space="preserve">Vadovaudamasis </w:t>
      </w:r>
      <w:r w:rsidR="003269C9" w:rsidRPr="003269C9">
        <w:t xml:space="preserve">Neformaliojo suaugusiųjų švietimo įstatymu, priimtu </w:t>
      </w:r>
      <w:r w:rsidR="003269C9" w:rsidRPr="003269C9">
        <w:rPr>
          <w:rStyle w:val="datametai"/>
        </w:rPr>
        <w:t>1998-06-</w:t>
      </w:r>
      <w:r w:rsidR="003269C9" w:rsidRPr="003269C9">
        <w:rPr>
          <w:rStyle w:val="datadiena"/>
        </w:rPr>
        <w:t>30</w:t>
      </w:r>
      <w:r w:rsidR="003269C9" w:rsidRPr="003269C9">
        <w:t xml:space="preserve"> Lietuvos Respublikos Seimo nutarimu Nr. </w:t>
      </w:r>
      <w:r w:rsidR="003269C9" w:rsidRPr="003269C9">
        <w:rPr>
          <w:rStyle w:val="statymonr"/>
        </w:rPr>
        <w:t>VIII-822</w:t>
      </w:r>
      <w:r w:rsidR="003269C9">
        <w:rPr>
          <w:rStyle w:val="statymonr"/>
        </w:rPr>
        <w:t xml:space="preserve"> </w:t>
      </w:r>
      <w:r w:rsidR="003269C9" w:rsidRPr="003269C9">
        <w:t>(</w:t>
      </w:r>
      <w:proofErr w:type="spellStart"/>
      <w:r w:rsidR="003269C9" w:rsidRPr="003269C9">
        <w:t>Žin</w:t>
      </w:r>
      <w:proofErr w:type="spellEnd"/>
      <w:r w:rsidR="003269C9" w:rsidRPr="003269C9">
        <w:t>., 1998, Nr.</w:t>
      </w:r>
      <w:r w:rsidR="003269C9">
        <w:t xml:space="preserve"> 66-1909</w:t>
      </w:r>
      <w:r w:rsidR="003269C9" w:rsidRPr="003269C9">
        <w:t>)</w:t>
      </w:r>
      <w:r w:rsidR="002A55CF">
        <w:t>,</w:t>
      </w:r>
      <w:r w:rsidR="003269C9">
        <w:t xml:space="preserve"> </w:t>
      </w:r>
    </w:p>
    <w:p w:rsidR="0069656A" w:rsidRPr="003C2DC1" w:rsidRDefault="0069656A" w:rsidP="0069656A">
      <w:pPr>
        <w:spacing w:line="360" w:lineRule="auto"/>
        <w:jc w:val="both"/>
      </w:pPr>
      <w:r w:rsidRPr="003C2DC1">
        <w:t xml:space="preserve">            </w:t>
      </w:r>
      <w:r w:rsidR="002D2AEE" w:rsidRPr="003C2DC1">
        <w:t>t</w:t>
      </w:r>
      <w:r w:rsidRPr="003C2DC1">
        <w:t xml:space="preserve"> v i r t i n u</w:t>
      </w:r>
      <w:r w:rsidR="003C2DC1" w:rsidRPr="003C2DC1">
        <w:t xml:space="preserve"> </w:t>
      </w:r>
      <w:r w:rsidRPr="003C2DC1">
        <w:t xml:space="preserve"> Neformaliojo </w:t>
      </w:r>
      <w:r w:rsidR="00CD5C1C" w:rsidRPr="003C2DC1">
        <w:t xml:space="preserve">suaugusiųjų </w:t>
      </w:r>
      <w:r w:rsidRPr="003C2DC1">
        <w:t>švietimo programų tobulin</w:t>
      </w:r>
      <w:r w:rsidR="00CD5C1C" w:rsidRPr="003C2DC1">
        <w:t>amų</w:t>
      </w:r>
      <w:r w:rsidRPr="003C2DC1">
        <w:t xml:space="preserve"> </w:t>
      </w:r>
      <w:r w:rsidR="00A04F2A" w:rsidRPr="003C2DC1">
        <w:t xml:space="preserve">veiklos </w:t>
      </w:r>
      <w:r w:rsidRPr="003C2DC1">
        <w:t>kompetencijų klasifikatorių (pridedama).</w:t>
      </w:r>
    </w:p>
    <w:p w:rsidR="0069656A" w:rsidRPr="00727FBE" w:rsidRDefault="0069656A" w:rsidP="0069656A">
      <w:pPr>
        <w:spacing w:line="360" w:lineRule="auto"/>
        <w:jc w:val="both"/>
      </w:pPr>
      <w:r>
        <w:t xml:space="preserve">            </w:t>
      </w:r>
    </w:p>
    <w:p w:rsidR="0069656A" w:rsidRDefault="0069656A" w:rsidP="0069656A">
      <w:pPr>
        <w:spacing w:line="360" w:lineRule="auto"/>
        <w:jc w:val="center"/>
        <w:rPr>
          <w:b/>
        </w:rPr>
      </w:pPr>
    </w:p>
    <w:p w:rsidR="002A55CF" w:rsidRDefault="002A55CF" w:rsidP="0069656A">
      <w:pPr>
        <w:spacing w:line="360" w:lineRule="auto"/>
        <w:jc w:val="center"/>
        <w:rPr>
          <w:b/>
        </w:rPr>
      </w:pPr>
    </w:p>
    <w:p w:rsidR="002A55CF" w:rsidRDefault="002A55CF" w:rsidP="0069656A">
      <w:pPr>
        <w:spacing w:line="360" w:lineRule="auto"/>
        <w:jc w:val="center"/>
        <w:rPr>
          <w:b/>
        </w:rPr>
      </w:pPr>
    </w:p>
    <w:p w:rsidR="002A55CF" w:rsidRDefault="002A55CF" w:rsidP="0069656A">
      <w:pPr>
        <w:spacing w:line="360" w:lineRule="auto"/>
        <w:jc w:val="center"/>
        <w:rPr>
          <w:b/>
        </w:rPr>
      </w:pPr>
    </w:p>
    <w:p w:rsidR="0069656A" w:rsidRDefault="0069656A" w:rsidP="0069656A">
      <w:pPr>
        <w:spacing w:line="360" w:lineRule="auto"/>
        <w:jc w:val="center"/>
        <w:rPr>
          <w:b/>
        </w:rPr>
      </w:pPr>
    </w:p>
    <w:p w:rsidR="0069656A" w:rsidRPr="00727FBE" w:rsidRDefault="0069656A" w:rsidP="0069656A">
      <w:pPr>
        <w:spacing w:line="360" w:lineRule="auto"/>
        <w:jc w:val="center"/>
        <w:rPr>
          <w:b/>
        </w:rPr>
      </w:pPr>
    </w:p>
    <w:p w:rsidR="0069656A" w:rsidRPr="00727FBE" w:rsidRDefault="0069656A" w:rsidP="0069656A">
      <w:pPr>
        <w:jc w:val="center"/>
        <w:rPr>
          <w:b/>
        </w:rPr>
      </w:pPr>
    </w:p>
    <w:p w:rsidR="0069656A" w:rsidRPr="00727FBE" w:rsidRDefault="0069656A" w:rsidP="0069656A">
      <w:pPr>
        <w:jc w:val="center"/>
      </w:pPr>
      <w:r w:rsidRPr="00727FBE">
        <w:t>Direktori</w:t>
      </w:r>
      <w:r w:rsidR="003269C9">
        <w:t>a</w:t>
      </w:r>
      <w:r w:rsidRPr="00727FBE">
        <w:t xml:space="preserve">us </w:t>
      </w:r>
      <w:r w:rsidR="003269C9">
        <w:t xml:space="preserve">pavaduotojas l. e. direktoriaus pareigas </w:t>
      </w:r>
      <w:r w:rsidRPr="00727FBE">
        <w:t xml:space="preserve">   </w:t>
      </w:r>
      <w:r w:rsidR="003269C9">
        <w:t xml:space="preserve">                      Mantas </w:t>
      </w:r>
      <w:proofErr w:type="spellStart"/>
      <w:r w:rsidR="003269C9">
        <w:t>Masaitis</w:t>
      </w:r>
      <w:proofErr w:type="spellEnd"/>
    </w:p>
    <w:p w:rsidR="0069656A" w:rsidRDefault="0069656A" w:rsidP="0069656A">
      <w:pPr>
        <w:jc w:val="center"/>
        <w:rPr>
          <w:b/>
        </w:rPr>
      </w:pPr>
    </w:p>
    <w:p w:rsidR="0069656A" w:rsidRPr="003269C9" w:rsidRDefault="0069656A">
      <w:pPr>
        <w:spacing w:after="200" w:line="276" w:lineRule="auto"/>
      </w:pPr>
      <w:r w:rsidRPr="003269C9">
        <w:br w:type="page"/>
      </w:r>
    </w:p>
    <w:p w:rsidR="0069656A" w:rsidRPr="003269C9" w:rsidRDefault="0069656A" w:rsidP="0069656A">
      <w:pPr>
        <w:jc w:val="right"/>
      </w:pPr>
      <w:r w:rsidRPr="003269C9">
        <w:lastRenderedPageBreak/>
        <w:t>Patvirtinta</w:t>
      </w:r>
    </w:p>
    <w:p w:rsidR="0069656A" w:rsidRPr="003269C9" w:rsidRDefault="0069656A" w:rsidP="0069656A">
      <w:pPr>
        <w:jc w:val="right"/>
      </w:pPr>
      <w:r w:rsidRPr="003269C9">
        <w:t>Švietimo informacinių technologijų centro</w:t>
      </w:r>
    </w:p>
    <w:p w:rsidR="0069656A" w:rsidRPr="003269C9" w:rsidRDefault="00610AD1" w:rsidP="0069656A">
      <w:pPr>
        <w:jc w:val="right"/>
      </w:pPr>
      <w:r>
        <w:t>direktoriaus 2013 m.</w:t>
      </w:r>
      <w:r w:rsidR="0069656A" w:rsidRPr="003269C9">
        <w:t xml:space="preserve"> </w:t>
      </w:r>
      <w:r w:rsidR="008303F6">
        <w:t>rugsėjo 18</w:t>
      </w:r>
      <w:r w:rsidR="0069656A" w:rsidRPr="003269C9">
        <w:t xml:space="preserve"> d.</w:t>
      </w:r>
    </w:p>
    <w:p w:rsidR="00E303DA" w:rsidRPr="00517D4B" w:rsidRDefault="00610AD1" w:rsidP="0069656A">
      <w:pPr>
        <w:jc w:val="right"/>
      </w:pPr>
      <w:r>
        <w:t xml:space="preserve">įsakymu </w:t>
      </w:r>
      <w:r w:rsidR="00171828" w:rsidRPr="003269C9">
        <w:t>Nr. V</w:t>
      </w:r>
      <w:r w:rsidR="00171828" w:rsidRPr="00517D4B">
        <w:t>I</w:t>
      </w:r>
      <w:r>
        <w:t>-9</w:t>
      </w:r>
      <w:r w:rsidR="008303F6">
        <w:t>7</w:t>
      </w:r>
      <w:bookmarkStart w:id="0" w:name="_GoBack"/>
      <w:bookmarkEnd w:id="0"/>
      <w:r w:rsidR="0069656A" w:rsidRPr="00517D4B">
        <w:t>.</w:t>
      </w:r>
    </w:p>
    <w:p w:rsidR="0069656A" w:rsidRPr="00517D4B" w:rsidRDefault="0069656A" w:rsidP="0069656A">
      <w:pPr>
        <w:jc w:val="right"/>
      </w:pPr>
    </w:p>
    <w:p w:rsidR="0069656A" w:rsidRPr="00517D4B" w:rsidRDefault="0069656A"/>
    <w:p w:rsidR="00816D56" w:rsidRPr="00DE3CAF" w:rsidRDefault="00816D56" w:rsidP="00816D56">
      <w:pPr>
        <w:pStyle w:val="CentrBold"/>
        <w:spacing w:line="283" w:lineRule="auto"/>
        <w:ind w:left="720"/>
        <w:rPr>
          <w:sz w:val="24"/>
          <w:szCs w:val="24"/>
        </w:rPr>
      </w:pPr>
      <w:r w:rsidRPr="00DE3CAF">
        <w:rPr>
          <w:sz w:val="24"/>
          <w:szCs w:val="24"/>
        </w:rPr>
        <w:t xml:space="preserve">Neformaliojo </w:t>
      </w:r>
      <w:r w:rsidR="00CD5C1C" w:rsidRPr="00DE3CAF">
        <w:rPr>
          <w:sz w:val="24"/>
          <w:szCs w:val="24"/>
        </w:rPr>
        <w:t xml:space="preserve">SUAUGUSIŲJŲ </w:t>
      </w:r>
      <w:r w:rsidRPr="00DE3CAF">
        <w:rPr>
          <w:sz w:val="24"/>
          <w:szCs w:val="24"/>
        </w:rPr>
        <w:t>švietimo programų tobulin</w:t>
      </w:r>
      <w:r w:rsidR="00CD5C1C" w:rsidRPr="00DE3CAF">
        <w:rPr>
          <w:sz w:val="24"/>
          <w:szCs w:val="24"/>
        </w:rPr>
        <w:t xml:space="preserve">AMŲ </w:t>
      </w:r>
      <w:r w:rsidR="00A04F2A" w:rsidRPr="00DE3CAF">
        <w:rPr>
          <w:sz w:val="24"/>
          <w:szCs w:val="24"/>
        </w:rPr>
        <w:t xml:space="preserve">VEIKLOS </w:t>
      </w:r>
      <w:r w:rsidR="00CD5C1C" w:rsidRPr="00DE3CAF">
        <w:rPr>
          <w:sz w:val="24"/>
          <w:szCs w:val="24"/>
        </w:rPr>
        <w:t>kompetencijŲ KLASIFIKATORIUS</w:t>
      </w:r>
    </w:p>
    <w:p w:rsidR="00816D56" w:rsidRPr="00FE1045" w:rsidRDefault="00816D56" w:rsidP="00816D56">
      <w:pPr>
        <w:pStyle w:val="CentrBold"/>
        <w:spacing w:line="283" w:lineRule="auto"/>
        <w:ind w:left="1080"/>
        <w:jc w:val="left"/>
        <w:rPr>
          <w:sz w:val="24"/>
          <w:szCs w:val="24"/>
        </w:rPr>
      </w:pP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8"/>
        <w:gridCol w:w="5131"/>
      </w:tblGrid>
      <w:tr w:rsidR="00816D56" w:rsidRPr="007B5E05" w:rsidTr="00D70D35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6D56" w:rsidRPr="007B5E05" w:rsidRDefault="00816D56" w:rsidP="00816D56">
            <w:pPr>
              <w:pStyle w:val="BasicParagraph"/>
              <w:tabs>
                <w:tab w:val="left" w:pos="7740"/>
              </w:tabs>
              <w:spacing w:line="240" w:lineRule="auto"/>
            </w:pPr>
            <w:r w:rsidRPr="007B5E05">
              <w:t>Klasifikatoriaus pavadinimas lietuvių kalba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6D56" w:rsidRPr="007B5E05" w:rsidRDefault="00816D56" w:rsidP="00CD5C1C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jc w:val="both"/>
              <w:rPr>
                <w:lang w:eastAsia="zh-CN"/>
              </w:rPr>
            </w:pPr>
            <w:r w:rsidRPr="00FE1045">
              <w:t xml:space="preserve">Neformaliojo </w:t>
            </w:r>
            <w:r w:rsidR="00CD5C1C">
              <w:t xml:space="preserve">suaugusiųjų </w:t>
            </w:r>
            <w:r w:rsidRPr="00FE1045">
              <w:t xml:space="preserve">švietimo programų </w:t>
            </w:r>
            <w:r w:rsidRPr="00816D56">
              <w:t xml:space="preserve">  tobulin</w:t>
            </w:r>
            <w:r w:rsidR="00CD5C1C">
              <w:t>amos</w:t>
            </w:r>
            <w:r w:rsidRPr="00816D56">
              <w:t xml:space="preserve"> </w:t>
            </w:r>
            <w:r w:rsidR="00A04F2A">
              <w:t xml:space="preserve">veiklos </w:t>
            </w:r>
            <w:r w:rsidRPr="00816D56">
              <w:t>kompetencijos</w:t>
            </w:r>
          </w:p>
        </w:tc>
      </w:tr>
      <w:tr w:rsidR="00816D56" w:rsidRPr="007B5E05" w:rsidTr="00D70D35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6D56" w:rsidRPr="007B5E05" w:rsidRDefault="00816D56" w:rsidP="00816D56">
            <w:pPr>
              <w:pStyle w:val="BasicParagraph"/>
              <w:tabs>
                <w:tab w:val="left" w:pos="7740"/>
              </w:tabs>
              <w:spacing w:line="240" w:lineRule="auto"/>
            </w:pPr>
            <w:r w:rsidRPr="007B5E05">
              <w:t>Klasifikatoriaus pavadinimas anglų kalba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6D56" w:rsidRPr="007B5E05" w:rsidRDefault="000E1209" w:rsidP="000E120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proofErr w:type="spellStart"/>
            <w:r w:rsidRPr="000E1209">
              <w:t>Non-formal</w:t>
            </w:r>
            <w:proofErr w:type="spellEnd"/>
            <w:r w:rsidRPr="000E1209">
              <w:t xml:space="preserve"> </w:t>
            </w:r>
            <w:proofErr w:type="spellStart"/>
            <w:r w:rsidRPr="000E1209">
              <w:t>adult</w:t>
            </w:r>
            <w:proofErr w:type="spellEnd"/>
            <w:r w:rsidRPr="000E1209">
              <w:t xml:space="preserve"> </w:t>
            </w:r>
            <w:proofErr w:type="spellStart"/>
            <w:r w:rsidRPr="000E1209">
              <w:t>education</w:t>
            </w:r>
            <w:proofErr w:type="spellEnd"/>
            <w:r w:rsidRPr="000E1209">
              <w:t xml:space="preserve"> </w:t>
            </w:r>
            <w:proofErr w:type="spellStart"/>
            <w:r w:rsidRPr="000E1209">
              <w:t>programs</w:t>
            </w:r>
            <w:proofErr w:type="spellEnd"/>
            <w:r w:rsidRPr="000E1209">
              <w:t xml:space="preserve"> </w:t>
            </w:r>
            <w:proofErr w:type="spellStart"/>
            <w:r w:rsidRPr="000E1209">
              <w:t>improved</w:t>
            </w:r>
            <w:proofErr w:type="spellEnd"/>
            <w:r w:rsidRPr="000E1209">
              <w:t xml:space="preserve"> </w:t>
            </w:r>
            <w:proofErr w:type="spellStart"/>
            <w:r w:rsidRPr="000E1209">
              <w:t>competencies</w:t>
            </w:r>
            <w:proofErr w:type="spellEnd"/>
          </w:p>
        </w:tc>
      </w:tr>
      <w:tr w:rsidR="00816D56" w:rsidRPr="007B5E05" w:rsidTr="00D70D35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6D56" w:rsidRPr="007B5E05" w:rsidRDefault="00816D56" w:rsidP="00816D56">
            <w:pPr>
              <w:pStyle w:val="BasicParagraph"/>
              <w:tabs>
                <w:tab w:val="left" w:pos="7740"/>
              </w:tabs>
              <w:spacing w:line="240" w:lineRule="auto"/>
            </w:pPr>
            <w:r>
              <w:t>Klasifikatoriaus pavadinimo santrumpa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6D56" w:rsidRPr="00A42A03" w:rsidRDefault="00816D56" w:rsidP="000E1209">
            <w:pPr>
              <w:pStyle w:val="BasicParagraph"/>
              <w:tabs>
                <w:tab w:val="left" w:pos="7740"/>
              </w:tabs>
              <w:spacing w:line="240" w:lineRule="auto"/>
            </w:pPr>
            <w:r>
              <w:t>KL_</w:t>
            </w:r>
            <w:r w:rsidR="000E1209">
              <w:t>NS_</w:t>
            </w:r>
            <w:r>
              <w:t>KOMP</w:t>
            </w:r>
            <w:r w:rsidR="000E1209">
              <w:t>E</w:t>
            </w:r>
          </w:p>
        </w:tc>
      </w:tr>
      <w:tr w:rsidR="00816D56" w:rsidRPr="007B5E05" w:rsidTr="00D70D35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6D56" w:rsidRPr="007B5E05" w:rsidRDefault="00816D56" w:rsidP="00816D56">
            <w:pPr>
              <w:pStyle w:val="BasicParagraph"/>
              <w:tabs>
                <w:tab w:val="left" w:pos="7740"/>
              </w:tabs>
              <w:spacing w:line="240" w:lineRule="auto"/>
            </w:pPr>
            <w:r w:rsidRPr="007B5E05">
              <w:t>Klasifikatoriaus paskirtis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5311" w:rsidRPr="003269C9" w:rsidRDefault="00DE3CAF" w:rsidP="002A5311">
            <w:r w:rsidRPr="003269C9">
              <w:t xml:space="preserve">Remiantis </w:t>
            </w:r>
            <w:r w:rsidR="002A5311" w:rsidRPr="003269C9">
              <w:t>Neformaliojo suaugusiųjų švietimo įstatymu, priimtu</w:t>
            </w:r>
            <w:r w:rsidR="003269C9" w:rsidRPr="003269C9">
              <w:t xml:space="preserve"> </w:t>
            </w:r>
            <w:r w:rsidR="003269C9" w:rsidRPr="003269C9">
              <w:rPr>
                <w:rStyle w:val="datametai"/>
              </w:rPr>
              <w:t>1998-06</w:t>
            </w:r>
            <w:bookmarkStart w:id="1" w:name="data_menuo"/>
            <w:bookmarkStart w:id="2" w:name="data_diena"/>
            <w:bookmarkEnd w:id="1"/>
            <w:bookmarkEnd w:id="2"/>
            <w:r w:rsidR="003269C9" w:rsidRPr="003269C9">
              <w:rPr>
                <w:rStyle w:val="datametai"/>
              </w:rPr>
              <w:t>-</w:t>
            </w:r>
            <w:r w:rsidR="003269C9" w:rsidRPr="003269C9">
              <w:rPr>
                <w:rStyle w:val="datadiena"/>
              </w:rPr>
              <w:t>30</w:t>
            </w:r>
            <w:r w:rsidR="003269C9" w:rsidRPr="003269C9">
              <w:t xml:space="preserve"> </w:t>
            </w:r>
            <w:r w:rsidR="002A5311" w:rsidRPr="003269C9">
              <w:t>Lietuvos Respublikos Seimo</w:t>
            </w:r>
            <w:r w:rsidR="003269C9" w:rsidRPr="003269C9">
              <w:t xml:space="preserve"> nutarimu Nr. </w:t>
            </w:r>
            <w:bookmarkStart w:id="3" w:name="dok_nr"/>
            <w:bookmarkEnd w:id="3"/>
            <w:r w:rsidR="003269C9" w:rsidRPr="003269C9">
              <w:rPr>
                <w:rStyle w:val="statymonr"/>
              </w:rPr>
              <w:t>VIII-822</w:t>
            </w:r>
          </w:p>
          <w:p w:rsidR="00816D56" w:rsidRPr="003269C9" w:rsidRDefault="002A5311" w:rsidP="002A55CF">
            <w:pPr>
              <w:pStyle w:val="BasicParagraph"/>
              <w:tabs>
                <w:tab w:val="left" w:pos="7740"/>
              </w:tabs>
              <w:spacing w:line="240" w:lineRule="auto"/>
            </w:pPr>
            <w:r w:rsidRPr="003269C9">
              <w:t xml:space="preserve"> (</w:t>
            </w:r>
            <w:proofErr w:type="spellStart"/>
            <w:r w:rsidRPr="003269C9">
              <w:t>Žin</w:t>
            </w:r>
            <w:proofErr w:type="spellEnd"/>
            <w:r w:rsidRPr="003269C9">
              <w:t xml:space="preserve">., 1998, Nr. </w:t>
            </w:r>
            <w:hyperlink r:id="rId7" w:history="1">
              <w:r w:rsidRPr="003269C9">
                <w:rPr>
                  <w:rStyle w:val="Hyperlink"/>
                </w:rPr>
                <w:t>66-1909</w:t>
              </w:r>
            </w:hyperlink>
            <w:r w:rsidRPr="003269C9">
              <w:t>)</w:t>
            </w:r>
            <w:r w:rsidR="002A55CF">
              <w:t>,</w:t>
            </w:r>
            <w:r w:rsidRPr="003269C9">
              <w:t xml:space="preserve"> </w:t>
            </w:r>
            <w:r w:rsidR="00DE3CAF" w:rsidRPr="003269C9">
              <w:rPr>
                <w:bCs/>
              </w:rPr>
              <w:t>s</w:t>
            </w:r>
            <w:r w:rsidR="0069656A" w:rsidRPr="003269C9">
              <w:t xml:space="preserve">uskirstyti neformaliojo </w:t>
            </w:r>
            <w:r w:rsidR="000E1209" w:rsidRPr="003269C9">
              <w:t>suaugusiųjų švietimo programas</w:t>
            </w:r>
            <w:r w:rsidR="003C2DC1" w:rsidRPr="003269C9">
              <w:t xml:space="preserve"> ir pedagogų kvalifikacijos tobulinimo programas </w:t>
            </w:r>
            <w:r w:rsidR="000E1209" w:rsidRPr="003269C9">
              <w:t>į grupes pagal ugd</w:t>
            </w:r>
            <w:r w:rsidR="004155BD" w:rsidRPr="003269C9">
              <w:t>omas,</w:t>
            </w:r>
            <w:r w:rsidR="009425C7" w:rsidRPr="003269C9">
              <w:t xml:space="preserve"> tobulin</w:t>
            </w:r>
            <w:r w:rsidR="004155BD" w:rsidRPr="003269C9">
              <w:t>amas</w:t>
            </w:r>
            <w:r w:rsidR="009425C7" w:rsidRPr="003269C9">
              <w:t xml:space="preserve"> </w:t>
            </w:r>
            <w:r w:rsidR="004F7F9F" w:rsidRPr="003269C9">
              <w:t xml:space="preserve">veiklos </w:t>
            </w:r>
            <w:r w:rsidR="00517D4B">
              <w:t>bendrą</w:t>
            </w:r>
            <w:r w:rsidR="003269C9" w:rsidRPr="003269C9">
              <w:t xml:space="preserve">sias </w:t>
            </w:r>
            <w:r w:rsidR="009425C7" w:rsidRPr="003269C9">
              <w:t>kompetencijas</w:t>
            </w:r>
          </w:p>
        </w:tc>
      </w:tr>
      <w:tr w:rsidR="00816D56" w:rsidRPr="007B5E05" w:rsidTr="00D70D35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6D56" w:rsidRPr="007B5E05" w:rsidRDefault="00816D56" w:rsidP="00816D56">
            <w:pPr>
              <w:pStyle w:val="BasicParagraph"/>
              <w:tabs>
                <w:tab w:val="left" w:pos="7740"/>
              </w:tabs>
              <w:spacing w:line="240" w:lineRule="auto"/>
            </w:pPr>
            <w:r w:rsidRPr="007B5E05">
              <w:t>Klasifikatoriaus tipas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6D56" w:rsidRPr="007B5E05" w:rsidRDefault="00816D56" w:rsidP="00816D56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>
              <w:t>Lokalus</w:t>
            </w:r>
          </w:p>
        </w:tc>
      </w:tr>
      <w:tr w:rsidR="00816D56" w:rsidRPr="007B5E05" w:rsidTr="00D70D35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6D56" w:rsidRPr="007B5E05" w:rsidRDefault="00816D56" w:rsidP="00816D56">
            <w:pPr>
              <w:pStyle w:val="BasicParagraph"/>
              <w:tabs>
                <w:tab w:val="left" w:pos="7740"/>
              </w:tabs>
              <w:spacing w:line="240" w:lineRule="auto"/>
            </w:pPr>
            <w:r w:rsidRPr="007B5E05">
              <w:t>Klasifikatoriaus rengėjo pavadinimas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6D56" w:rsidRDefault="00816D56" w:rsidP="00816D56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>
              <w:t>Švietimo informacinių technologijų centras</w:t>
            </w:r>
            <w:r w:rsidR="004155BD">
              <w:t>,</w:t>
            </w:r>
          </w:p>
          <w:p w:rsidR="004155BD" w:rsidRPr="007B5E05" w:rsidRDefault="004155BD" w:rsidP="00816D56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>
              <w:t>Ugdymo plėtotės centras</w:t>
            </w:r>
          </w:p>
        </w:tc>
      </w:tr>
    </w:tbl>
    <w:p w:rsidR="00816D56" w:rsidRPr="007B5E05" w:rsidRDefault="00816D56" w:rsidP="00816D56">
      <w:pPr>
        <w:pStyle w:val="Hyperlink1"/>
        <w:spacing w:line="283" w:lineRule="auto"/>
        <w:ind w:firstLine="0"/>
        <w:rPr>
          <w:sz w:val="24"/>
          <w:szCs w:val="24"/>
        </w:rPr>
      </w:pPr>
    </w:p>
    <w:p w:rsidR="00816D56" w:rsidRPr="007B5E05" w:rsidRDefault="00816D56" w:rsidP="00816D56">
      <w:pPr>
        <w:pStyle w:val="Hyperlink1"/>
        <w:spacing w:line="283" w:lineRule="auto"/>
        <w:rPr>
          <w:sz w:val="24"/>
          <w:szCs w:val="24"/>
        </w:rPr>
      </w:pPr>
      <w:r w:rsidRPr="007B5E05">
        <w:rPr>
          <w:sz w:val="24"/>
          <w:szCs w:val="24"/>
        </w:rPr>
        <w:t>Klasifikatoriaus duomenys:</w:t>
      </w: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851"/>
        <w:gridCol w:w="1843"/>
        <w:gridCol w:w="1559"/>
        <w:gridCol w:w="4819"/>
      </w:tblGrid>
      <w:tr w:rsidR="00DE0A75" w:rsidRPr="007B5E05" w:rsidTr="00EE49B9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BasicParagraph"/>
              <w:tabs>
                <w:tab w:val="left" w:pos="7740"/>
              </w:tabs>
            </w:pPr>
            <w:r w:rsidRPr="007B5E05">
              <w:t>Eil. Nr.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E0A75" w:rsidRPr="007B5E05" w:rsidRDefault="00DE0A75" w:rsidP="00D70D35">
            <w:pPr>
              <w:pStyle w:val="BasicParagraph"/>
              <w:tabs>
                <w:tab w:val="left" w:pos="7740"/>
              </w:tabs>
            </w:pPr>
            <w:r>
              <w:t>Kodas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BasicParagraph"/>
              <w:tabs>
                <w:tab w:val="left" w:pos="7740"/>
              </w:tabs>
            </w:pPr>
            <w:r w:rsidRPr="007B5E05">
              <w:t>Pavadinimas lietuvių kalba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BasicParagraph"/>
              <w:tabs>
                <w:tab w:val="left" w:pos="7740"/>
              </w:tabs>
            </w:pPr>
            <w:r w:rsidRPr="007B5E05">
              <w:t>Pavadinimas anglų kalba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BasicParagraph"/>
              <w:tabs>
                <w:tab w:val="left" w:pos="7740"/>
              </w:tabs>
              <w:jc w:val="center"/>
            </w:pPr>
            <w:r w:rsidRPr="007B5E05">
              <w:t>Aprašymas</w:t>
            </w:r>
          </w:p>
          <w:p w:rsidR="00DE0A75" w:rsidRPr="007B5E05" w:rsidRDefault="00DE0A75" w:rsidP="00D70D35">
            <w:pPr>
              <w:pStyle w:val="BasicParagraph"/>
              <w:tabs>
                <w:tab w:val="left" w:pos="7740"/>
              </w:tabs>
            </w:pPr>
          </w:p>
        </w:tc>
      </w:tr>
      <w:tr w:rsidR="00DE0A75" w:rsidRPr="007B5E05" w:rsidTr="00EE49B9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Hyperlink1"/>
              <w:ind w:firstLine="0"/>
              <w:rPr>
                <w:sz w:val="24"/>
                <w:szCs w:val="24"/>
              </w:rPr>
            </w:pPr>
            <w:r w:rsidRPr="007B5E05">
              <w:rPr>
                <w:sz w:val="24"/>
                <w:szCs w:val="24"/>
              </w:rPr>
              <w:t>1.</w:t>
            </w:r>
          </w:p>
          <w:p w:rsidR="00DE0A75" w:rsidRPr="007B5E05" w:rsidRDefault="00DE0A75" w:rsidP="00D70D35">
            <w:pPr>
              <w:pStyle w:val="Hyperlink1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75" w:rsidRPr="007C4358" w:rsidRDefault="00DE0A75" w:rsidP="00D70D35">
            <w:pPr>
              <w:pStyle w:val="BasicParagrap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C4358" w:rsidRDefault="00DE0A75" w:rsidP="00D70D35">
            <w:pPr>
              <w:pStyle w:val="BasicParagraph"/>
              <w:rPr>
                <w:rFonts w:eastAsia="Calibri"/>
              </w:rPr>
            </w:pPr>
            <w:r w:rsidRPr="007C4358">
              <w:rPr>
                <w:rFonts w:eastAsia="Calibri"/>
              </w:rPr>
              <w:t>Užsienio kalbos</w:t>
            </w:r>
            <w:r>
              <w:rPr>
                <w:rFonts w:eastAsia="Calibri"/>
              </w:rPr>
              <w:t xml:space="preserve"> kompetencija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C4358" w:rsidRDefault="00DE0A75" w:rsidP="00D70D35">
            <w:pPr>
              <w:pStyle w:val="Basic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Foreign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language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competence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5E3347" w:rsidRDefault="005A7493" w:rsidP="005A7493">
            <w:pPr>
              <w:pStyle w:val="BasicParagraph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Suaugusio asmens g</w:t>
            </w:r>
            <w:r w:rsidR="00DE0A75" w:rsidRPr="005E3347">
              <w:rPr>
                <w:rFonts w:eastAsia="Calibri"/>
              </w:rPr>
              <w:t>ebėjimas</w:t>
            </w:r>
            <w:r w:rsidR="00DE0A75">
              <w:rPr>
                <w:rFonts w:eastAsia="Calibri"/>
              </w:rPr>
              <w:t xml:space="preserve"> vartoti užsienio kalbą komunikuojant (kalbant, klausant, skaitant, rašant) asmeninės ir viešosios veiklos srityse,</w:t>
            </w:r>
            <w:r w:rsidR="00DE0A75" w:rsidRPr="005E3347">
              <w:rPr>
                <w:rFonts w:eastAsia="Calibri"/>
              </w:rPr>
              <w:t xml:space="preserve"> pažinti kitas kultūras, bendrauti ir dalytis informacija su kitų kultūrų žmonėmis</w:t>
            </w:r>
          </w:p>
        </w:tc>
      </w:tr>
      <w:tr w:rsidR="00DE0A75" w:rsidRPr="007B5E05" w:rsidTr="00EE49B9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Hyperlink1"/>
              <w:ind w:firstLine="0"/>
              <w:rPr>
                <w:sz w:val="24"/>
                <w:szCs w:val="24"/>
              </w:rPr>
            </w:pPr>
            <w:r w:rsidRPr="007B5E05">
              <w:rPr>
                <w:sz w:val="24"/>
                <w:szCs w:val="24"/>
              </w:rPr>
              <w:t>2.</w:t>
            </w:r>
          </w:p>
          <w:p w:rsidR="00DE0A75" w:rsidRPr="007B5E05" w:rsidRDefault="00DE0A75" w:rsidP="00D70D35">
            <w:pPr>
              <w:pStyle w:val="Hyperlink1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75" w:rsidRDefault="00DE0A75" w:rsidP="00D70D35">
            <w:pPr>
              <w:pStyle w:val="BasicParagraph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BasicParagraph"/>
            </w:pPr>
            <w:r>
              <w:t>Gimtosios ir valstybinės kalbos kompetencija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C4358" w:rsidRDefault="00DE0A75" w:rsidP="00D70D35">
            <w:pPr>
              <w:pStyle w:val="Basic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Native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and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official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language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competence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EE49B9" w:rsidP="00EE49B9">
            <w:pPr>
              <w:pStyle w:val="BasicParagraph"/>
              <w:jc w:val="both"/>
              <w:rPr>
                <w:bCs/>
              </w:rPr>
            </w:pPr>
            <w:r>
              <w:rPr>
                <w:rFonts w:eastAsia="Calibri"/>
              </w:rPr>
              <w:t>Suaugusio asmens g</w:t>
            </w:r>
            <w:r w:rsidR="00DE0A75" w:rsidRPr="00081D56">
              <w:t>ebėjimas suprasti sakytinius ir rašytinius tekstus, gebėti kalbėti</w:t>
            </w:r>
            <w:r w:rsidR="00DE0A75">
              <w:t xml:space="preserve"> ir rašyti tekstus</w:t>
            </w:r>
            <w:r w:rsidR="00DE0A75" w:rsidRPr="00081D56">
              <w:t xml:space="preserve"> įvairiomis kasdienio gyvenimo ir darbo temomis, apibūdinti patirtį, įvykius, nusakyti priežastis, gebėti pildyti tipinių d</w:t>
            </w:r>
            <w:r w:rsidR="00DE0A75">
              <w:t xml:space="preserve">okumentų formas ir juos rengti. </w:t>
            </w:r>
            <w:r w:rsidR="00DE0A75" w:rsidRPr="00C9418B">
              <w:t>Gebėjimas suprasti</w:t>
            </w:r>
            <w:r w:rsidR="00DE0A75" w:rsidRPr="00C9418B">
              <w:rPr>
                <w:bCs/>
              </w:rPr>
              <w:t xml:space="preserve"> ir veiksmingai perteikti kitiems kalba reiškiamą informaciją, mintis ir idėjas</w:t>
            </w:r>
          </w:p>
        </w:tc>
      </w:tr>
      <w:tr w:rsidR="00DE0A75" w:rsidRPr="007B5E05" w:rsidTr="00EE49B9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Hyperlink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75" w:rsidRDefault="00DE0A75" w:rsidP="00D70D35">
            <w:pPr>
              <w:pStyle w:val="BasicParagraph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BasicParagraph"/>
            </w:pPr>
            <w:r>
              <w:t xml:space="preserve">Kompiuterinio ir skaitmeninio raštingumo </w:t>
            </w:r>
            <w:r>
              <w:lastRenderedPageBreak/>
              <w:t>kompetencija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C4358" w:rsidRDefault="00DE0A75" w:rsidP="00D70D35">
            <w:pPr>
              <w:pStyle w:val="Basic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Computer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and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digital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literacy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lastRenderedPageBreak/>
              <w:t>competence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EE49B9" w:rsidP="00EE49B9">
            <w:pPr>
              <w:pStyle w:val="BasicParagraph"/>
              <w:jc w:val="both"/>
              <w:rPr>
                <w:bCs/>
              </w:rPr>
            </w:pPr>
            <w:r>
              <w:rPr>
                <w:rFonts w:eastAsia="Calibri"/>
              </w:rPr>
              <w:lastRenderedPageBreak/>
              <w:t>Suaugusio asmens g</w:t>
            </w:r>
            <w:r w:rsidR="00DE0A75">
              <w:rPr>
                <w:bCs/>
              </w:rPr>
              <w:t xml:space="preserve">ebėjimas naudotis kompiuteriu ir internetu, e. paštu, e. paslaugomis, būti aktyviais e. piliečiais, gebėti </w:t>
            </w:r>
            <w:r w:rsidR="00DE0A75">
              <w:rPr>
                <w:bCs/>
              </w:rPr>
              <w:lastRenderedPageBreak/>
              <w:t>pasitelkti kompiuterį daugelyje svarbių kasdienio gyvenimo sričių</w:t>
            </w:r>
          </w:p>
        </w:tc>
      </w:tr>
      <w:tr w:rsidR="00DE0A75" w:rsidRPr="007B5E05" w:rsidTr="00EE49B9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Hyperlink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75" w:rsidRDefault="00DE0A75" w:rsidP="00D70D35">
            <w:pPr>
              <w:pStyle w:val="BasicParagraph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BasicParagraph"/>
            </w:pPr>
            <w:proofErr w:type="spellStart"/>
            <w:r>
              <w:t>Verslumo</w:t>
            </w:r>
            <w:proofErr w:type="spellEnd"/>
            <w:r>
              <w:t xml:space="preserve"> kompetencija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691EDB" w:rsidRDefault="00DE0A75" w:rsidP="00D70D35">
            <w:pPr>
              <w:pStyle w:val="BasicParagraph"/>
              <w:rPr>
                <w:rFonts w:eastAsia="Calibri"/>
              </w:rPr>
            </w:pPr>
            <w:proofErr w:type="spellStart"/>
            <w:r w:rsidRPr="00821EEA">
              <w:t>Entrepreneurship</w:t>
            </w:r>
            <w:proofErr w:type="spellEnd"/>
            <w:r w:rsidRPr="00821EEA">
              <w:t xml:space="preserve"> </w:t>
            </w:r>
            <w:proofErr w:type="spellStart"/>
            <w:r w:rsidRPr="00821EEA">
              <w:t>competence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EE49B9" w:rsidP="00EE49B9">
            <w:pPr>
              <w:pStyle w:val="BasicParagraph"/>
              <w:jc w:val="both"/>
              <w:rPr>
                <w:bCs/>
              </w:rPr>
            </w:pPr>
            <w:r>
              <w:rPr>
                <w:rFonts w:eastAsia="Calibri"/>
              </w:rPr>
              <w:t>Suaugusio asmens g</w:t>
            </w:r>
            <w:r w:rsidR="00DE0A75">
              <w:rPr>
                <w:bCs/>
              </w:rPr>
              <w:t>ebėjimas būti aktyviais darbo rinkos dalyviais, gerovės kūrėjais, suprasti, kaip vyksta ekonominiai procesai, kaip verslas kuriamas ir valdomas rinkos ekonomikos sąlygomis</w:t>
            </w:r>
          </w:p>
        </w:tc>
      </w:tr>
      <w:tr w:rsidR="00DE0A75" w:rsidRPr="007B5E05" w:rsidTr="00EE49B9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Hyperlink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75" w:rsidRDefault="00DE0A75" w:rsidP="00D70D35">
            <w:pPr>
              <w:pStyle w:val="BasicParagraph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BasicParagraph"/>
            </w:pPr>
            <w:r>
              <w:t>Teisinio raštingumo kompetencija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C4358" w:rsidRDefault="00DE0A75" w:rsidP="00D70D35">
            <w:pPr>
              <w:pStyle w:val="Basic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Law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literacy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competence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EE49B9" w:rsidP="00EE49B9">
            <w:pPr>
              <w:pStyle w:val="BasicParagraph"/>
              <w:jc w:val="both"/>
              <w:rPr>
                <w:bCs/>
              </w:rPr>
            </w:pPr>
            <w:r>
              <w:rPr>
                <w:rFonts w:eastAsia="Calibri"/>
              </w:rPr>
              <w:t>Suaugusio asmens g</w:t>
            </w:r>
            <w:r w:rsidR="00DE0A75">
              <w:rPr>
                <w:bCs/>
              </w:rPr>
              <w:t>ebėjimas suprasti teisinius darbo santykius, teisinius sutuoktinių santykius, nuosavybės teisinius santykius, žinoti vartotojų teises, reikšti teisinius reikalavimus. Žinoti savivaldybių funkcijas, teisę į socialinę apsaugą bei nemokamą teisinę pagalbą</w:t>
            </w:r>
          </w:p>
        </w:tc>
      </w:tr>
      <w:tr w:rsidR="00DE0A75" w:rsidRPr="007B5E05" w:rsidTr="00EE49B9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Hyperlink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75" w:rsidRDefault="00DE0A75" w:rsidP="00D70D35">
            <w:pPr>
              <w:pStyle w:val="BasicParagraph"/>
            </w:pPr>
            <w: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BasicParagraph"/>
            </w:pPr>
            <w:r>
              <w:t>Pilietinio ir politinio raštingumo kompetencija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C4358" w:rsidRDefault="00DE0A75" w:rsidP="00D70D35">
            <w:pPr>
              <w:pStyle w:val="Basic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Civic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and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political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literacy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competence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EE49B9" w:rsidP="00EE49B9">
            <w:pPr>
              <w:pStyle w:val="BasicParagraph"/>
              <w:jc w:val="both"/>
              <w:rPr>
                <w:bCs/>
              </w:rPr>
            </w:pPr>
            <w:r>
              <w:rPr>
                <w:rFonts w:eastAsia="Calibri"/>
              </w:rPr>
              <w:t>Suaugusio asmens g</w:t>
            </w:r>
            <w:r w:rsidR="00DE0A75">
              <w:rPr>
                <w:bCs/>
              </w:rPr>
              <w:t>ebėjimas suprasti politikos reiškinio esmę, politikos ir valstybės ryšį, žinoti piliečių galimybes dalyvauti politikoje, valdžios institucijų funkcijas bei Lietuvos vietą tarptautinės politikos arenoje</w:t>
            </w:r>
          </w:p>
        </w:tc>
      </w:tr>
      <w:tr w:rsidR="00DE0A75" w:rsidRPr="007B5E05" w:rsidTr="00EE49B9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Hyperlink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75" w:rsidRDefault="00DE0A75" w:rsidP="00D70D35">
            <w:pPr>
              <w:pStyle w:val="BasicParagraph"/>
            </w:pPr>
            <w: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BasicParagraph"/>
            </w:pPr>
            <w:r>
              <w:t>Tarpasmeninės ir tarpkultūrinės komunikacijos kompetencija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C4358" w:rsidRDefault="00DE0A75" w:rsidP="00D70D35">
            <w:pPr>
              <w:pStyle w:val="Basic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Interpersonal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and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intercultural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communication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competence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EE49B9" w:rsidP="00EE49B9">
            <w:pPr>
              <w:pStyle w:val="BasicParagraph"/>
              <w:jc w:val="both"/>
              <w:rPr>
                <w:bCs/>
              </w:rPr>
            </w:pPr>
            <w:r>
              <w:rPr>
                <w:rFonts w:eastAsia="Calibri"/>
              </w:rPr>
              <w:t>Suaugusio asmens g</w:t>
            </w:r>
            <w:r w:rsidR="00DE0A75">
              <w:rPr>
                <w:bCs/>
              </w:rPr>
              <w:t xml:space="preserve">ebėjimas komunikuoti tarpusavyje ar žmonių grupėje, spręsti tarpasmeninius konfliktus, rasti optimalius sprendimo būdus, įveikti santykių stereotipus, įžvelgti kultūrų sąsajas, atpažinti ir taikyti įvairias strategijas bendraujant su kitų kultūrų žmonėmis </w:t>
            </w:r>
          </w:p>
        </w:tc>
      </w:tr>
      <w:tr w:rsidR="00DE0A75" w:rsidRPr="007B5E05" w:rsidTr="00EE49B9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Hyperlink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75" w:rsidRDefault="00DE0A75" w:rsidP="00D70D35">
            <w:pPr>
              <w:pStyle w:val="BasicParagraph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DE0A75" w:rsidP="00D70D35">
            <w:pPr>
              <w:pStyle w:val="BasicParagraph"/>
            </w:pPr>
            <w:r>
              <w:t>Sveikatingumo kompetencija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C4358" w:rsidRDefault="00DE0A75" w:rsidP="00D70D35">
            <w:pPr>
              <w:pStyle w:val="Basic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Wellness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competence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EE49B9" w:rsidP="00EE49B9">
            <w:pPr>
              <w:pStyle w:val="BasicParagraph"/>
              <w:jc w:val="both"/>
              <w:rPr>
                <w:bCs/>
              </w:rPr>
            </w:pPr>
            <w:r>
              <w:rPr>
                <w:rFonts w:eastAsia="Calibri"/>
              </w:rPr>
              <w:t>Suaugusio asmens g</w:t>
            </w:r>
            <w:r w:rsidR="00DE0A75">
              <w:rPr>
                <w:bCs/>
              </w:rPr>
              <w:t>ebėjimas formuoti sveikos gyvensenos įgūdžius. Žinoti veiksnius, keliančius riziką arba palaikančius ir stiprinančius fizinę ir psichinę sveikatą</w:t>
            </w:r>
          </w:p>
        </w:tc>
      </w:tr>
      <w:tr w:rsidR="00DE0A75" w:rsidRPr="007B5E05" w:rsidTr="00EE49B9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Default="00DE0A75" w:rsidP="00D70D35">
            <w:pPr>
              <w:pStyle w:val="Hyperlink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75" w:rsidRDefault="00DE0A75" w:rsidP="00D70D35">
            <w:pPr>
              <w:pStyle w:val="BasicParagraph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Default="00DE0A75" w:rsidP="00D70D35">
            <w:pPr>
              <w:pStyle w:val="BasicParagraph"/>
            </w:pPr>
            <w:r>
              <w:t>Meninės saviraiškos kompetencija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C4358" w:rsidRDefault="00DE0A75" w:rsidP="00D70D35">
            <w:pPr>
              <w:pStyle w:val="Basic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Artistic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self-expression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competence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Pr="007B5E05" w:rsidRDefault="00EE49B9" w:rsidP="00EE49B9">
            <w:pPr>
              <w:pStyle w:val="BasicParagraph"/>
              <w:jc w:val="both"/>
              <w:rPr>
                <w:bCs/>
              </w:rPr>
            </w:pPr>
            <w:r>
              <w:rPr>
                <w:rFonts w:eastAsia="Calibri"/>
              </w:rPr>
              <w:t>Suaugusio asmens g</w:t>
            </w:r>
            <w:r w:rsidR="00DE0A75">
              <w:rPr>
                <w:bCs/>
              </w:rPr>
              <w:t>ebėjimas suprasti savo etninę ir kultūrinę tapatybę bei gebėjimas dalyvauti realiuose kūrybiniuose procesuose</w:t>
            </w:r>
          </w:p>
        </w:tc>
      </w:tr>
      <w:tr w:rsidR="00DE0A75" w:rsidRPr="007B5E05" w:rsidTr="00EE49B9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Default="002A55CF" w:rsidP="00D70D35">
            <w:pPr>
              <w:pStyle w:val="Hyperlink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E0A7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75" w:rsidRDefault="00DE0A75" w:rsidP="002A55CF">
            <w:pPr>
              <w:pStyle w:val="BasicParagraph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Default="00DE0A75" w:rsidP="00D70D35">
            <w:pPr>
              <w:pStyle w:val="BasicParagraph"/>
            </w:pPr>
            <w:r>
              <w:t>Kita kompetencija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Default="00DE0A75" w:rsidP="00D70D35">
            <w:pPr>
              <w:pStyle w:val="Basic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Other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competence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0A75" w:rsidRDefault="00EE49B9" w:rsidP="003269C9">
            <w:pPr>
              <w:pStyle w:val="BasicParagraph"/>
              <w:jc w:val="both"/>
              <w:rPr>
                <w:bCs/>
              </w:rPr>
            </w:pPr>
            <w:r>
              <w:rPr>
                <w:bCs/>
              </w:rPr>
              <w:t>Kita</w:t>
            </w:r>
            <w:r w:rsidR="003269C9">
              <w:rPr>
                <w:bCs/>
              </w:rPr>
              <w:t>, klasifikatoriuje nenurodyta</w:t>
            </w:r>
            <w:r w:rsidR="00DE0A75">
              <w:rPr>
                <w:bCs/>
              </w:rPr>
              <w:t xml:space="preserve"> veiklos </w:t>
            </w:r>
            <w:r w:rsidR="003269C9">
              <w:rPr>
                <w:bCs/>
              </w:rPr>
              <w:t xml:space="preserve">bendroji </w:t>
            </w:r>
            <w:r w:rsidR="00DE0A75">
              <w:rPr>
                <w:bCs/>
              </w:rPr>
              <w:t>kompetencija</w:t>
            </w:r>
          </w:p>
        </w:tc>
      </w:tr>
    </w:tbl>
    <w:p w:rsidR="00816D56" w:rsidRPr="009A1F29" w:rsidRDefault="00816D56" w:rsidP="009A1F29">
      <w:pPr>
        <w:pStyle w:val="Hyperlink1"/>
        <w:spacing w:line="283" w:lineRule="auto"/>
        <w:jc w:val="center"/>
        <w:rPr>
          <w:sz w:val="24"/>
          <w:szCs w:val="24"/>
        </w:rPr>
      </w:pPr>
      <w:r w:rsidRPr="007B5E05">
        <w:rPr>
          <w:sz w:val="24"/>
          <w:szCs w:val="24"/>
        </w:rPr>
        <w:t>__________________________</w:t>
      </w:r>
    </w:p>
    <w:sectPr w:rsidR="00816D56" w:rsidRPr="009A1F29" w:rsidSect="00CD5C1C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0918"/>
    <w:multiLevelType w:val="hybridMultilevel"/>
    <w:tmpl w:val="3AFC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56"/>
    <w:rsid w:val="000E1209"/>
    <w:rsid w:val="00171828"/>
    <w:rsid w:val="00232C1E"/>
    <w:rsid w:val="002A5311"/>
    <w:rsid w:val="002A55CF"/>
    <w:rsid w:val="002D2AEE"/>
    <w:rsid w:val="003269C9"/>
    <w:rsid w:val="003C2DC1"/>
    <w:rsid w:val="004155BD"/>
    <w:rsid w:val="004F7F9F"/>
    <w:rsid w:val="00517D4B"/>
    <w:rsid w:val="005A7493"/>
    <w:rsid w:val="00610AD1"/>
    <w:rsid w:val="0069656A"/>
    <w:rsid w:val="00816D56"/>
    <w:rsid w:val="008303F6"/>
    <w:rsid w:val="008C7EFA"/>
    <w:rsid w:val="009425C7"/>
    <w:rsid w:val="00974098"/>
    <w:rsid w:val="009A1F29"/>
    <w:rsid w:val="00A04F2A"/>
    <w:rsid w:val="00A9486D"/>
    <w:rsid w:val="00CD5C1C"/>
    <w:rsid w:val="00DE0A75"/>
    <w:rsid w:val="00DE3CAF"/>
    <w:rsid w:val="00E303DA"/>
    <w:rsid w:val="00E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816D56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816D56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816D56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816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6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D56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56"/>
    <w:rPr>
      <w:rFonts w:ascii="Tahoma" w:eastAsia="Times New Roman" w:hAnsi="Tahoma" w:cs="Tahoma"/>
      <w:sz w:val="16"/>
      <w:szCs w:val="16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098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2D2AEE"/>
    <w:rPr>
      <w:color w:val="0000FF"/>
      <w:u w:val="single"/>
    </w:rPr>
  </w:style>
  <w:style w:type="character" w:customStyle="1" w:styleId="datametai">
    <w:name w:val="datametai"/>
    <w:basedOn w:val="DefaultParagraphFont"/>
    <w:rsid w:val="003269C9"/>
  </w:style>
  <w:style w:type="character" w:customStyle="1" w:styleId="datamnuo">
    <w:name w:val="datamnuo"/>
    <w:basedOn w:val="DefaultParagraphFont"/>
    <w:rsid w:val="003269C9"/>
  </w:style>
  <w:style w:type="character" w:customStyle="1" w:styleId="datadiena">
    <w:name w:val="datadiena"/>
    <w:basedOn w:val="DefaultParagraphFont"/>
    <w:rsid w:val="003269C9"/>
  </w:style>
  <w:style w:type="character" w:customStyle="1" w:styleId="statymonr">
    <w:name w:val="statymonr"/>
    <w:basedOn w:val="DefaultParagraphFont"/>
    <w:rsid w:val="00326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816D56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816D56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816D56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816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6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D56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56"/>
    <w:rPr>
      <w:rFonts w:ascii="Tahoma" w:eastAsia="Times New Roman" w:hAnsi="Tahoma" w:cs="Tahoma"/>
      <w:sz w:val="16"/>
      <w:szCs w:val="16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098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2D2AEE"/>
    <w:rPr>
      <w:color w:val="0000FF"/>
      <w:u w:val="single"/>
    </w:rPr>
  </w:style>
  <w:style w:type="character" w:customStyle="1" w:styleId="datametai">
    <w:name w:val="datametai"/>
    <w:basedOn w:val="DefaultParagraphFont"/>
    <w:rsid w:val="003269C9"/>
  </w:style>
  <w:style w:type="character" w:customStyle="1" w:styleId="datamnuo">
    <w:name w:val="datamnuo"/>
    <w:basedOn w:val="DefaultParagraphFont"/>
    <w:rsid w:val="003269C9"/>
  </w:style>
  <w:style w:type="character" w:customStyle="1" w:styleId="datadiena">
    <w:name w:val="datadiena"/>
    <w:basedOn w:val="DefaultParagraphFont"/>
    <w:rsid w:val="003269C9"/>
  </w:style>
  <w:style w:type="character" w:customStyle="1" w:styleId="statymonr">
    <w:name w:val="statymonr"/>
    <w:basedOn w:val="DefaultParagraphFont"/>
    <w:rsid w:val="0032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3.lrs.lt/pls/inter/dokpaieska.showdoc_l?p_id=60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2967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4</cp:revision>
  <cp:lastPrinted>2013-09-18T05:25:00Z</cp:lastPrinted>
  <dcterms:created xsi:type="dcterms:W3CDTF">2013-09-18T05:53:00Z</dcterms:created>
  <dcterms:modified xsi:type="dcterms:W3CDTF">2013-09-18T06:40:00Z</dcterms:modified>
</cp:coreProperties>
</file>