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54" w:rsidRDefault="005F7154">
      <w:pPr>
        <w:tabs>
          <w:tab w:val="center" w:pos="4680"/>
          <w:tab w:val="right" w:pos="9360"/>
        </w:tabs>
        <w:suppressAutoHyphens/>
        <w:textAlignment w:val="baseline"/>
        <w:rPr>
          <w:sz w:val="22"/>
          <w:szCs w:val="22"/>
          <w:lang w:val="en-US"/>
        </w:rPr>
      </w:pPr>
    </w:p>
    <w:p w:rsidR="005F7154" w:rsidRDefault="00D04EDB" w:rsidP="00D04EDB">
      <w:pPr>
        <w:tabs>
          <w:tab w:val="center" w:pos="4680"/>
          <w:tab w:val="right" w:pos="9360"/>
        </w:tabs>
        <w:suppressAutoHyphens/>
        <w:jc w:val="center"/>
        <w:textAlignment w:val="baseline"/>
        <w:rPr>
          <w:szCs w:val="24"/>
        </w:rPr>
      </w:pPr>
      <w:r>
        <w:rPr>
          <w:noProof/>
          <w:szCs w:val="24"/>
          <w:lang w:eastAsia="lt-LT"/>
        </w:rPr>
        <w:drawing>
          <wp:inline distT="0" distB="0" distL="0" distR="0" wp14:anchorId="15C8D661" wp14:editId="54D51457">
            <wp:extent cx="560892" cy="475579"/>
            <wp:effectExtent l="0" t="0" r="0" b="671"/>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60892" cy="475579"/>
                    </a:xfrm>
                    <a:prstGeom prst="rect">
                      <a:avLst/>
                    </a:prstGeom>
                    <a:noFill/>
                    <a:ln>
                      <a:noFill/>
                      <a:prstDash/>
                    </a:ln>
                  </pic:spPr>
                </pic:pic>
              </a:graphicData>
            </a:graphic>
          </wp:inline>
        </w:drawing>
      </w:r>
    </w:p>
    <w:p w:rsidR="005F7154" w:rsidRDefault="00D04EDB">
      <w:pPr>
        <w:suppressAutoHyphens/>
        <w:jc w:val="center"/>
        <w:textAlignment w:val="center"/>
      </w:pPr>
      <w:r>
        <w:rPr>
          <w:b/>
          <w:color w:val="000000"/>
          <w:szCs w:val="24"/>
        </w:rPr>
        <w:t>LIETUVOS RESPUBLIKOS ŠVIETIMO, MOKSLO IR SPORTO MINISTRAS</w:t>
      </w:r>
    </w:p>
    <w:p w:rsidR="005F7154" w:rsidRDefault="005F7154">
      <w:pPr>
        <w:suppressAutoHyphens/>
        <w:textAlignment w:val="baseline"/>
        <w:rPr>
          <w:szCs w:val="24"/>
        </w:rPr>
      </w:pPr>
    </w:p>
    <w:p w:rsidR="005F7154" w:rsidRDefault="00D04EDB">
      <w:pPr>
        <w:suppressAutoHyphens/>
        <w:jc w:val="center"/>
        <w:textAlignment w:val="center"/>
        <w:rPr>
          <w:b/>
          <w:color w:val="000000"/>
          <w:szCs w:val="24"/>
        </w:rPr>
      </w:pPr>
      <w:r>
        <w:rPr>
          <w:b/>
          <w:color w:val="000000"/>
          <w:szCs w:val="24"/>
        </w:rPr>
        <w:t>ĮSAKYMAS</w:t>
      </w:r>
    </w:p>
    <w:p w:rsidR="005F7154" w:rsidRDefault="00D04EDB">
      <w:pPr>
        <w:suppressAutoHyphens/>
        <w:jc w:val="center"/>
        <w:textAlignment w:val="center"/>
        <w:rPr>
          <w:b/>
          <w:color w:val="000000"/>
          <w:szCs w:val="24"/>
        </w:rPr>
      </w:pPr>
      <w:r>
        <w:rPr>
          <w:b/>
          <w:color w:val="000000"/>
          <w:szCs w:val="24"/>
        </w:rPr>
        <w:t>DĖL ŠVIETIMO IR MOKSLO MINISTRO 2013 M. RUGSĖJO 11 D. ĮSAKYMO</w:t>
      </w:r>
    </w:p>
    <w:p w:rsidR="005F7154" w:rsidRDefault="00D04EDB">
      <w:pPr>
        <w:suppressAutoHyphens/>
        <w:jc w:val="center"/>
        <w:textAlignment w:val="center"/>
        <w:rPr>
          <w:b/>
          <w:color w:val="000000"/>
          <w:szCs w:val="24"/>
        </w:rPr>
      </w:pPr>
      <w:r>
        <w:rPr>
          <w:b/>
          <w:color w:val="000000"/>
          <w:szCs w:val="24"/>
        </w:rPr>
        <w:t>NR. V-856 „DĖL KLASIŲ PASKIRČIŲ KLASIFIKATORIAUS PATVIRTINIMO“ PAKEITIMO</w:t>
      </w:r>
    </w:p>
    <w:p w:rsidR="005F7154" w:rsidRDefault="005F7154">
      <w:pPr>
        <w:suppressAutoHyphens/>
        <w:textAlignment w:val="baseline"/>
        <w:rPr>
          <w:szCs w:val="24"/>
        </w:rPr>
      </w:pPr>
    </w:p>
    <w:p w:rsidR="005F7154" w:rsidRDefault="00D04EDB">
      <w:pPr>
        <w:suppressAutoHyphens/>
        <w:jc w:val="center"/>
        <w:textAlignment w:val="center"/>
      </w:pPr>
      <w:r>
        <w:rPr>
          <w:color w:val="000000"/>
          <w:szCs w:val="24"/>
        </w:rPr>
        <w:t>2021 m. vasario 1</w:t>
      </w:r>
      <w:r>
        <w:rPr>
          <w:color w:val="000000"/>
          <w:szCs w:val="24"/>
        </w:rPr>
        <w:t xml:space="preserve"> d. Nr. V-170</w:t>
      </w:r>
    </w:p>
    <w:p w:rsidR="005F7154" w:rsidRDefault="00D04EDB">
      <w:pPr>
        <w:suppressAutoHyphens/>
        <w:jc w:val="center"/>
        <w:textAlignment w:val="center"/>
        <w:rPr>
          <w:color w:val="000000"/>
          <w:szCs w:val="24"/>
        </w:rPr>
      </w:pPr>
      <w:r>
        <w:rPr>
          <w:color w:val="000000"/>
          <w:szCs w:val="24"/>
        </w:rPr>
        <w:t>Vilnius</w:t>
      </w:r>
    </w:p>
    <w:p w:rsidR="005F7154" w:rsidRDefault="005F7154">
      <w:pPr>
        <w:suppressAutoHyphens/>
        <w:jc w:val="center"/>
        <w:textAlignment w:val="center"/>
        <w:rPr>
          <w:color w:val="000000"/>
          <w:szCs w:val="24"/>
        </w:rPr>
      </w:pPr>
    </w:p>
    <w:p w:rsidR="005F7154" w:rsidRDefault="005F7154">
      <w:pPr>
        <w:suppressAutoHyphens/>
        <w:jc w:val="center"/>
        <w:textAlignment w:val="center"/>
        <w:rPr>
          <w:szCs w:val="24"/>
        </w:rPr>
      </w:pPr>
    </w:p>
    <w:p w:rsidR="005F7154" w:rsidRDefault="00D04EDB">
      <w:pPr>
        <w:suppressAutoHyphens/>
        <w:ind w:firstLine="567"/>
        <w:jc w:val="both"/>
        <w:textAlignment w:val="center"/>
        <w:rPr>
          <w:color w:val="000000"/>
          <w:szCs w:val="24"/>
        </w:rPr>
      </w:pPr>
      <w:r>
        <w:rPr>
          <w:color w:val="000000"/>
          <w:szCs w:val="24"/>
        </w:rPr>
        <w:t>P a k e i č i u Lietuvos Respublikos švietimo ir mokslo ministro 2013 m. rugsėjo 11 d. įsakymą Nr. V-856 „Dėl Klasių paskirčių klasifikatoriaus patvirtinimo“:</w:t>
      </w:r>
    </w:p>
    <w:p w:rsidR="005F7154" w:rsidRDefault="00D04EDB">
      <w:pPr>
        <w:suppressAutoHyphens/>
        <w:ind w:firstLine="567"/>
        <w:jc w:val="both"/>
        <w:textAlignment w:val="center"/>
      </w:pPr>
      <w:r>
        <w:rPr>
          <w:color w:val="000000"/>
          <w:szCs w:val="24"/>
        </w:rPr>
        <w:t>1</w:t>
      </w:r>
      <w:r>
        <w:rPr>
          <w:color w:val="000000"/>
          <w:szCs w:val="24"/>
        </w:rPr>
        <w:t>. Pakeičiu nurodytą įsakymą ir jį išdėstau nauja redakcija (Klasių paskirčių klasifikatoriu</w:t>
      </w:r>
      <w:r>
        <w:rPr>
          <w:color w:val="000000"/>
          <w:szCs w:val="24"/>
        </w:rPr>
        <w:t>s nauja redakcija nedėstomas):</w:t>
      </w:r>
    </w:p>
    <w:p w:rsidR="005F7154" w:rsidRDefault="005F7154">
      <w:pPr>
        <w:suppressAutoHyphens/>
        <w:jc w:val="both"/>
        <w:textAlignment w:val="baseline"/>
        <w:rPr>
          <w:szCs w:val="24"/>
        </w:rPr>
      </w:pPr>
    </w:p>
    <w:p w:rsidR="005F7154" w:rsidRDefault="00D04EDB">
      <w:pPr>
        <w:suppressAutoHyphens/>
        <w:ind w:left="-340"/>
        <w:jc w:val="center"/>
        <w:textAlignment w:val="baseline"/>
        <w:rPr>
          <w:b/>
          <w:bCs/>
          <w:szCs w:val="24"/>
        </w:rPr>
      </w:pPr>
      <w:r>
        <w:rPr>
          <w:b/>
          <w:bCs/>
          <w:szCs w:val="24"/>
        </w:rPr>
        <w:t>„LIETUVOS RESPUBLIKOS ŠVIETIMO, MOKSLO IR SPORTO</w:t>
      </w:r>
    </w:p>
    <w:p w:rsidR="005F7154" w:rsidRDefault="00D04EDB">
      <w:pPr>
        <w:suppressAutoHyphens/>
        <w:ind w:left="-340"/>
        <w:jc w:val="center"/>
        <w:textAlignment w:val="baseline"/>
        <w:rPr>
          <w:b/>
          <w:bCs/>
          <w:szCs w:val="24"/>
        </w:rPr>
      </w:pPr>
      <w:r>
        <w:rPr>
          <w:b/>
          <w:bCs/>
          <w:szCs w:val="24"/>
        </w:rPr>
        <w:t>MINISTRAS</w:t>
      </w:r>
    </w:p>
    <w:p w:rsidR="005F7154" w:rsidRDefault="005F7154">
      <w:pPr>
        <w:suppressAutoHyphens/>
        <w:ind w:left="-340"/>
        <w:jc w:val="center"/>
        <w:textAlignment w:val="baseline"/>
        <w:rPr>
          <w:szCs w:val="24"/>
        </w:rPr>
      </w:pPr>
    </w:p>
    <w:p w:rsidR="005F7154" w:rsidRDefault="00D04EDB">
      <w:pPr>
        <w:suppressAutoHyphens/>
        <w:ind w:left="-397"/>
        <w:jc w:val="center"/>
        <w:textAlignment w:val="baseline"/>
        <w:rPr>
          <w:b/>
          <w:bCs/>
          <w:szCs w:val="24"/>
        </w:rPr>
      </w:pPr>
      <w:r>
        <w:rPr>
          <w:b/>
          <w:bCs/>
          <w:szCs w:val="24"/>
        </w:rPr>
        <w:t>ĮSAKYMAS</w:t>
      </w:r>
    </w:p>
    <w:p w:rsidR="005F7154" w:rsidRDefault="00D04EDB">
      <w:pPr>
        <w:suppressAutoHyphens/>
        <w:ind w:left="-340"/>
        <w:jc w:val="center"/>
        <w:textAlignment w:val="baseline"/>
      </w:pPr>
      <w:r>
        <w:rPr>
          <w:b/>
          <w:color w:val="000000"/>
          <w:szCs w:val="24"/>
        </w:rPr>
        <w:t>DĖL KLASIŲ PASKIRČIŲ KLASIFIKATORIAUS PATVIRTINIMO</w:t>
      </w:r>
    </w:p>
    <w:p w:rsidR="005F7154" w:rsidRDefault="005F7154">
      <w:pPr>
        <w:suppressAutoHyphens/>
        <w:ind w:left="-340"/>
        <w:jc w:val="center"/>
        <w:textAlignment w:val="baseline"/>
        <w:rPr>
          <w:szCs w:val="24"/>
        </w:rPr>
      </w:pPr>
    </w:p>
    <w:p w:rsidR="005F7154" w:rsidRDefault="00D04EDB">
      <w:pPr>
        <w:suppressAutoHyphens/>
        <w:ind w:firstLine="680"/>
        <w:jc w:val="both"/>
        <w:textAlignment w:val="baseline"/>
        <w:rPr>
          <w:szCs w:val="24"/>
          <w:lang w:eastAsia="lt-LT"/>
        </w:rPr>
      </w:pPr>
      <w:r>
        <w:rPr>
          <w:szCs w:val="24"/>
          <w:lang w:eastAsia="lt-LT"/>
        </w:rPr>
        <w:t xml:space="preserve">Vadovaudamasi Lietuvos Respublikos valstybės informacinių išteklių valdymo įstatymo 15 straipsnio 8 </w:t>
      </w:r>
      <w:r>
        <w:rPr>
          <w:szCs w:val="24"/>
          <w:lang w:eastAsia="lt-LT"/>
        </w:rPr>
        <w:t xml:space="preserve">dalimi ir Švietimo ir mokslo srities registrams ir informacinėms sistemoms būdingų klasifikatorių kūrimo, tvarkymo ir naudojimo taisyklių, patvirtintų Lietuvos Respublikos švietimo ir mokslo ministro 2014 m. gruodžio 22 d. įsakymu Nr. V-1233 „Dėl Švietimo </w:t>
      </w:r>
      <w:r>
        <w:rPr>
          <w:szCs w:val="24"/>
          <w:lang w:eastAsia="lt-LT"/>
        </w:rPr>
        <w:t>ir mokslo srities registrams ir informacinėms sistemoms būdingų klasifikatorių kūrimo, tvarkymo ir naudojimo taisyklių patvirtinimo“, 12 punktu,</w:t>
      </w:r>
    </w:p>
    <w:p w:rsidR="005F7154" w:rsidRDefault="00D04EDB">
      <w:pPr>
        <w:suppressAutoHyphens/>
        <w:ind w:firstLine="680"/>
        <w:jc w:val="both"/>
        <w:textAlignment w:val="baseline"/>
      </w:pPr>
      <w:r>
        <w:rPr>
          <w:szCs w:val="24"/>
          <w:lang w:eastAsia="lt-LT"/>
        </w:rPr>
        <w:t>t v i r t i n u Klasių paskirčių klasifikatorių (pridedama).“</w:t>
      </w:r>
    </w:p>
    <w:p w:rsidR="005F7154" w:rsidRDefault="00D04EDB">
      <w:pPr>
        <w:suppressAutoHyphens/>
        <w:ind w:firstLine="680"/>
        <w:jc w:val="both"/>
        <w:textAlignment w:val="baseline"/>
      </w:pPr>
      <w:r>
        <w:rPr>
          <w:szCs w:val="24"/>
        </w:rPr>
        <w:t>2</w:t>
      </w:r>
      <w:r>
        <w:rPr>
          <w:szCs w:val="24"/>
        </w:rPr>
        <w:t>. Pakeičiu nurodytu įsakymu patvirti</w:t>
      </w:r>
      <w:r>
        <w:rPr>
          <w:szCs w:val="24"/>
        </w:rPr>
        <w:t xml:space="preserve">ntą Klasių paskirčių </w:t>
      </w:r>
      <w:r>
        <w:rPr>
          <w:szCs w:val="24"/>
          <w:lang w:eastAsia="lt-LT"/>
        </w:rPr>
        <w:t>klasifikatorių</w:t>
      </w:r>
      <w:r>
        <w:rPr>
          <w:szCs w:val="24"/>
        </w:rPr>
        <w:t>:</w:t>
      </w:r>
    </w:p>
    <w:p w:rsidR="005F7154" w:rsidRDefault="00D04EDB">
      <w:pPr>
        <w:suppressAutoHyphens/>
        <w:ind w:firstLine="680"/>
        <w:jc w:val="both"/>
        <w:textAlignment w:val="baseline"/>
        <w:rPr>
          <w:szCs w:val="24"/>
        </w:rPr>
      </w:pPr>
      <w:r>
        <w:rPr>
          <w:szCs w:val="24"/>
        </w:rPr>
        <w:t>2.1</w:t>
      </w:r>
      <w:r>
        <w:rPr>
          <w:szCs w:val="24"/>
        </w:rPr>
        <w:t>. pakeičiu tvirtinimo žymą ir ją išdėstau taip:</w:t>
      </w:r>
    </w:p>
    <w:p w:rsidR="005F7154" w:rsidRDefault="00D04EDB">
      <w:pPr>
        <w:suppressAutoHyphens/>
        <w:ind w:firstLine="680"/>
        <w:jc w:val="both"/>
        <w:textAlignment w:val="baseline"/>
        <w:rPr>
          <w:szCs w:val="24"/>
        </w:rPr>
      </w:pPr>
      <w:r>
        <w:rPr>
          <w:szCs w:val="24"/>
        </w:rPr>
        <w:t>„PATVIRTINTA</w:t>
      </w:r>
    </w:p>
    <w:p w:rsidR="005F7154" w:rsidRDefault="00D04EDB">
      <w:pPr>
        <w:suppressAutoHyphens/>
        <w:ind w:firstLine="680"/>
        <w:textAlignment w:val="baseline"/>
        <w:rPr>
          <w:szCs w:val="24"/>
        </w:rPr>
      </w:pPr>
      <w:r>
        <w:rPr>
          <w:szCs w:val="24"/>
        </w:rPr>
        <w:t>Lietuvos Respublikos švietimo, mokslo ir sporto ministro</w:t>
      </w:r>
    </w:p>
    <w:p w:rsidR="005F7154" w:rsidRDefault="00D04EDB">
      <w:pPr>
        <w:suppressAutoHyphens/>
        <w:ind w:firstLine="680"/>
        <w:textAlignment w:val="baseline"/>
        <w:rPr>
          <w:color w:val="000000"/>
          <w:szCs w:val="24"/>
        </w:rPr>
      </w:pPr>
      <w:r>
        <w:rPr>
          <w:szCs w:val="24"/>
          <w:lang w:eastAsia="lt-LT"/>
        </w:rPr>
        <w:t>2013 m. rugsėjo 11 d. įsakymu Nr. V-856</w:t>
      </w:r>
      <w:r>
        <w:rPr>
          <w:color w:val="000000"/>
          <w:szCs w:val="24"/>
        </w:rPr>
        <w:t>“;</w:t>
      </w:r>
    </w:p>
    <w:p w:rsidR="005F7154" w:rsidRDefault="00D04EDB">
      <w:pPr>
        <w:suppressAutoHyphens/>
        <w:ind w:firstLine="680"/>
        <w:textAlignment w:val="baseline"/>
      </w:pPr>
      <w:r>
        <w:rPr>
          <w:color w:val="000000"/>
          <w:szCs w:val="24"/>
        </w:rPr>
        <w:t>2.2</w:t>
      </w:r>
      <w:r>
        <w:rPr>
          <w:color w:val="000000"/>
          <w:szCs w:val="24"/>
        </w:rPr>
        <w:t xml:space="preserve">. pakeičiu lentelės „Klasifikatoriaus </w:t>
      </w:r>
      <w:r>
        <w:rPr>
          <w:color w:val="000000"/>
          <w:szCs w:val="24"/>
        </w:rPr>
        <w:t>duomenys“ 30 punktą ir jį išdėstau taip:</w:t>
      </w:r>
    </w:p>
    <w:tbl>
      <w:tblPr>
        <w:tblW w:w="9639" w:type="dxa"/>
        <w:tblInd w:w="108" w:type="dxa"/>
        <w:tblLayout w:type="fixed"/>
        <w:tblCellMar>
          <w:left w:w="10" w:type="dxa"/>
          <w:right w:w="10" w:type="dxa"/>
        </w:tblCellMar>
        <w:tblLook w:val="04A0" w:firstRow="1" w:lastRow="0" w:firstColumn="1" w:lastColumn="0" w:noHBand="0" w:noVBand="1"/>
      </w:tblPr>
      <w:tblGrid>
        <w:gridCol w:w="720"/>
        <w:gridCol w:w="990"/>
        <w:gridCol w:w="1800"/>
        <w:gridCol w:w="6129"/>
      </w:tblGrid>
      <w:tr w:rsidR="005F7154">
        <w:trPr>
          <w:trHeight w:val="571"/>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center"/>
              <w:rPr>
                <w:color w:val="000000"/>
                <w:szCs w:val="24"/>
                <w:lang w:eastAsia="lt-LT"/>
              </w:rPr>
            </w:pPr>
            <w:r>
              <w:rPr>
                <w:color w:val="000000"/>
                <w:szCs w:val="24"/>
                <w:lang w:eastAsia="lt-LT"/>
              </w:rPr>
              <w:t>„Eil. Nr.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center"/>
              <w:rPr>
                <w:color w:val="000000"/>
                <w:szCs w:val="24"/>
                <w:lang w:eastAsia="lt-LT"/>
              </w:rPr>
            </w:pPr>
            <w:r>
              <w:rPr>
                <w:color w:val="000000"/>
                <w:szCs w:val="24"/>
                <w:lang w:eastAsia="lt-LT"/>
              </w:rPr>
              <w:t>Kodas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center"/>
              <w:rPr>
                <w:color w:val="000000"/>
                <w:szCs w:val="24"/>
                <w:lang w:eastAsia="lt-LT"/>
              </w:rPr>
            </w:pPr>
            <w:r>
              <w:rPr>
                <w:color w:val="000000"/>
                <w:szCs w:val="24"/>
                <w:lang w:eastAsia="lt-LT"/>
              </w:rPr>
              <w:t>Pavadinimas lietuvių kalba</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baseline"/>
              <w:rPr>
                <w:szCs w:val="24"/>
              </w:rPr>
            </w:pPr>
            <w:r>
              <w:rPr>
                <w:szCs w:val="24"/>
              </w:rPr>
              <w:t>Aprašymas</w:t>
            </w:r>
          </w:p>
        </w:tc>
      </w:tr>
      <w:tr w:rsidR="005F7154">
        <w:trPr>
          <w:trHeight w:val="281"/>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widowControl w:val="0"/>
              <w:suppressAutoHyphens/>
              <w:jc w:val="center"/>
              <w:textAlignment w:val="baseline"/>
            </w:pPr>
            <w:r>
              <w:rPr>
                <w:color w:val="000000"/>
                <w:szCs w:val="24"/>
                <w:lang w:eastAsia="lt-LT"/>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widowControl w:val="0"/>
              <w:suppressAutoHyphens/>
              <w:textAlignment w:val="baseline"/>
            </w:pPr>
            <w:r>
              <w:rPr>
                <w:color w:val="000000"/>
                <w:szCs w:val="24"/>
                <w:lang w:eastAsia="lt-LT"/>
              </w:rPr>
              <w:t>210208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widowControl w:val="0"/>
              <w:suppressAutoHyphens/>
              <w:textAlignment w:val="baseline"/>
            </w:pPr>
            <w:r>
              <w:rPr>
                <w:color w:val="000000"/>
                <w:szCs w:val="24"/>
                <w:lang w:eastAsia="lt-LT"/>
              </w:rPr>
              <w:t>Specialioji klasė turintiesiems įvairiapusių raidos sutrikimų</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widowControl w:val="0"/>
              <w:suppressAutoHyphens/>
              <w:textAlignment w:val="baseline"/>
            </w:pPr>
            <w:r>
              <w:rPr>
                <w:color w:val="000000"/>
                <w:szCs w:val="24"/>
                <w:lang w:eastAsia="lt-LT"/>
              </w:rPr>
              <w:t xml:space="preserve">Klasė, skirta mokiniams, turintiems didelių ar labai didelių specialiųjų ugdymosi </w:t>
            </w:r>
            <w:r>
              <w:rPr>
                <w:color w:val="000000"/>
                <w:szCs w:val="24"/>
                <w:lang w:eastAsia="lt-LT"/>
              </w:rPr>
              <w:t xml:space="preserve">poreikių dėl įvairiapusių raidos sutrikimų, mokytis pagal pritaikomą pradinio, pagrindinio ar vidurinio ugdymo programas arba pradinio ugdymo individualizuotą, pagrindinio ugdymo individualizuotą ar </w:t>
            </w:r>
            <w:r>
              <w:rPr>
                <w:color w:val="000000"/>
                <w:szCs w:val="24"/>
                <w:lang w:eastAsia="lt-LT"/>
              </w:rPr>
              <w:lastRenderedPageBreak/>
              <w:t>socialinių įgūdžių ugdymo programas“;</w:t>
            </w:r>
          </w:p>
        </w:tc>
      </w:tr>
    </w:tbl>
    <w:p w:rsidR="005F7154" w:rsidRDefault="00D04EDB">
      <w:pPr>
        <w:suppressAutoHyphens/>
        <w:ind w:firstLine="680"/>
        <w:textAlignment w:val="baseline"/>
        <w:rPr>
          <w:szCs w:val="24"/>
        </w:rPr>
      </w:pPr>
    </w:p>
    <w:p w:rsidR="005F7154" w:rsidRDefault="00D04EDB">
      <w:pPr>
        <w:tabs>
          <w:tab w:val="left" w:pos="2340"/>
        </w:tabs>
        <w:suppressAutoHyphens/>
        <w:ind w:firstLine="567"/>
        <w:jc w:val="both"/>
        <w:textAlignment w:val="center"/>
      </w:pPr>
      <w:r>
        <w:rPr>
          <w:color w:val="000000"/>
          <w:szCs w:val="24"/>
        </w:rPr>
        <w:t>2.3</w:t>
      </w:r>
      <w:r>
        <w:rPr>
          <w:color w:val="000000"/>
          <w:szCs w:val="24"/>
        </w:rPr>
        <w:t>. papildau</w:t>
      </w:r>
      <w:r>
        <w:rPr>
          <w:color w:val="000000"/>
          <w:szCs w:val="24"/>
        </w:rPr>
        <w:t xml:space="preserve"> lentelę „Klasifikatoriaus duomenys“ 67 ir 68 punktais:</w:t>
      </w:r>
    </w:p>
    <w:tbl>
      <w:tblPr>
        <w:tblW w:w="9639" w:type="dxa"/>
        <w:tblInd w:w="108" w:type="dxa"/>
        <w:tblLayout w:type="fixed"/>
        <w:tblCellMar>
          <w:left w:w="10" w:type="dxa"/>
          <w:right w:w="10" w:type="dxa"/>
        </w:tblCellMar>
        <w:tblLook w:val="04A0" w:firstRow="1" w:lastRow="0" w:firstColumn="1" w:lastColumn="0" w:noHBand="0" w:noVBand="1"/>
      </w:tblPr>
      <w:tblGrid>
        <w:gridCol w:w="720"/>
        <w:gridCol w:w="990"/>
        <w:gridCol w:w="1710"/>
        <w:gridCol w:w="6219"/>
      </w:tblGrid>
      <w:tr w:rsidR="005F7154">
        <w:trPr>
          <w:trHeight w:val="571"/>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center"/>
              <w:rPr>
                <w:color w:val="000000"/>
                <w:szCs w:val="24"/>
                <w:lang w:eastAsia="lt-LT"/>
              </w:rPr>
            </w:pPr>
            <w:r>
              <w:rPr>
                <w:color w:val="000000"/>
                <w:szCs w:val="24"/>
                <w:lang w:eastAsia="lt-LT"/>
              </w:rPr>
              <w:t>„Eil. Nr.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center"/>
              <w:rPr>
                <w:color w:val="000000"/>
                <w:szCs w:val="24"/>
                <w:lang w:eastAsia="lt-LT"/>
              </w:rPr>
            </w:pPr>
            <w:r>
              <w:rPr>
                <w:color w:val="000000"/>
                <w:szCs w:val="24"/>
                <w:lang w:eastAsia="lt-LT"/>
              </w:rPr>
              <w:t>Kodas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center"/>
              <w:rPr>
                <w:color w:val="000000"/>
                <w:szCs w:val="24"/>
                <w:lang w:eastAsia="lt-LT"/>
              </w:rPr>
            </w:pPr>
            <w:r>
              <w:rPr>
                <w:color w:val="000000"/>
                <w:szCs w:val="24"/>
                <w:lang w:eastAsia="lt-LT"/>
              </w:rPr>
              <w:t>Pavadinimas lietuvių kalba</w:t>
            </w:r>
          </w:p>
        </w:tc>
        <w:tc>
          <w:tcPr>
            <w:tcW w:w="621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baseline"/>
              <w:rPr>
                <w:szCs w:val="24"/>
              </w:rPr>
            </w:pPr>
            <w:r>
              <w:rPr>
                <w:szCs w:val="24"/>
              </w:rPr>
              <w:t>Aprašymas</w:t>
            </w:r>
          </w:p>
        </w:tc>
      </w:tr>
      <w:tr w:rsidR="005F7154">
        <w:trPr>
          <w:trHeight w:val="1334"/>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center"/>
            </w:pPr>
            <w:r>
              <w:rPr>
                <w:szCs w:val="24"/>
                <w:lang w:eastAsia="lt-LT"/>
              </w:rPr>
              <w:t>67.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center"/>
              <w:rPr>
                <w:szCs w:val="24"/>
                <w:lang w:eastAsia="lt-LT"/>
              </w:rPr>
            </w:pPr>
            <w:r>
              <w:rPr>
                <w:szCs w:val="24"/>
                <w:lang w:eastAsia="lt-LT"/>
              </w:rPr>
              <w:t>111003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textAlignment w:val="center"/>
              <w:rPr>
                <w:szCs w:val="24"/>
                <w:lang w:eastAsia="lt-LT"/>
              </w:rPr>
            </w:pPr>
            <w:r>
              <w:rPr>
                <w:szCs w:val="24"/>
                <w:lang w:eastAsia="lt-LT"/>
              </w:rPr>
              <w:t>Jūrų kadetų klasė</w:t>
            </w:r>
          </w:p>
        </w:tc>
        <w:tc>
          <w:tcPr>
            <w:tcW w:w="621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both"/>
              <w:textAlignment w:val="baseline"/>
              <w:rPr>
                <w:color w:val="000000"/>
                <w:szCs w:val="24"/>
                <w:lang w:eastAsia="lt-LT"/>
              </w:rPr>
            </w:pPr>
            <w:r>
              <w:rPr>
                <w:color w:val="000000"/>
                <w:szCs w:val="24"/>
                <w:lang w:eastAsia="lt-LT"/>
              </w:rPr>
              <w:t xml:space="preserve">Klasė (nevalstybinėje mokykloje), skirta mokiniams mokytis pagal bendrąją pagrindinio ar bendrąją vidurinio ugdymo </w:t>
            </w:r>
            <w:r>
              <w:rPr>
                <w:color w:val="000000"/>
                <w:szCs w:val="24"/>
                <w:lang w:eastAsia="lt-LT"/>
              </w:rPr>
              <w:t>programas, mokyklos parengtą Jūreivystės, laivybos ir karybos ugdymo pagrindų programą, kai ugdymas grindžiamas Jūrų kadetų ugdymo samprata, patvirtinta Lietuvos Respublikos švietimo ir mokslo ministro 2018 m. lapkričio 15 d. įsakymu Nr. V-902 „Dėl Jūrų ka</w:t>
            </w:r>
            <w:r>
              <w:rPr>
                <w:color w:val="000000"/>
                <w:szCs w:val="24"/>
                <w:lang w:eastAsia="lt-LT"/>
              </w:rPr>
              <w:t>detų ugdymo sampratos patvirtinimo“ (toliau – Jūrų kadetų ugdymo samprata)</w:t>
            </w:r>
          </w:p>
        </w:tc>
      </w:tr>
      <w:tr w:rsidR="005F7154">
        <w:trPr>
          <w:trHeight w:val="1334"/>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center"/>
            </w:pPr>
            <w:r>
              <w:rPr>
                <w:szCs w:val="24"/>
                <w:lang w:eastAsia="lt-LT"/>
              </w:rPr>
              <w:t>68.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center"/>
              <w:textAlignment w:val="center"/>
              <w:rPr>
                <w:szCs w:val="24"/>
                <w:lang w:eastAsia="lt-LT"/>
              </w:rPr>
            </w:pPr>
            <w:r>
              <w:rPr>
                <w:szCs w:val="24"/>
                <w:lang w:eastAsia="lt-LT"/>
              </w:rPr>
              <w:t>111004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textAlignment w:val="center"/>
              <w:rPr>
                <w:szCs w:val="24"/>
                <w:lang w:eastAsia="lt-LT"/>
              </w:rPr>
            </w:pPr>
            <w:r>
              <w:rPr>
                <w:szCs w:val="24"/>
                <w:lang w:eastAsia="lt-LT"/>
              </w:rPr>
              <w:t>Jūrų kadetų elementų klasė</w:t>
            </w:r>
          </w:p>
        </w:tc>
        <w:tc>
          <w:tcPr>
            <w:tcW w:w="621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5F7154" w:rsidRDefault="00D04EDB">
            <w:pPr>
              <w:suppressAutoHyphens/>
              <w:jc w:val="both"/>
              <w:textAlignment w:val="baseline"/>
            </w:pPr>
            <w:r>
              <w:rPr>
                <w:color w:val="000000"/>
                <w:szCs w:val="24"/>
                <w:lang w:eastAsia="lt-LT"/>
              </w:rPr>
              <w:t xml:space="preserve">Klasė (savivaldybės ar valstybinėje mokykloje (viešojoje įstaigoje)), skirta mokiniams mokytis pagal bendrąją pagrindinio ar bendrąją </w:t>
            </w:r>
            <w:r>
              <w:rPr>
                <w:color w:val="000000"/>
                <w:szCs w:val="24"/>
                <w:lang w:eastAsia="lt-LT"/>
              </w:rPr>
              <w:t>vidurinio ugdymo programas, mokyklos parengtą Jūreivystės, laivybos ir karybos ugdymo pagrindų programą, kai ugdymas grindžiamas Jūrų kadetų ugdymo sampratos atskirais elementais“</w:t>
            </w:r>
          </w:p>
        </w:tc>
      </w:tr>
    </w:tbl>
    <w:p w:rsidR="005F7154" w:rsidRDefault="00D04EDB">
      <w:pPr>
        <w:suppressAutoHyphens/>
        <w:textAlignment w:val="baseline"/>
        <w:rPr>
          <w:szCs w:val="24"/>
        </w:rPr>
      </w:pPr>
    </w:p>
    <w:p w:rsidR="00D04EDB" w:rsidRDefault="00D04EDB">
      <w:pPr>
        <w:suppressAutoHyphens/>
        <w:textAlignment w:val="baseline"/>
      </w:pPr>
    </w:p>
    <w:p w:rsidR="00D04EDB" w:rsidRDefault="00D04EDB">
      <w:pPr>
        <w:suppressAutoHyphens/>
        <w:textAlignment w:val="baseline"/>
      </w:pPr>
    </w:p>
    <w:p w:rsidR="005F7154" w:rsidRDefault="00D04EDB">
      <w:pPr>
        <w:suppressAutoHyphens/>
        <w:textAlignment w:val="baseline"/>
        <w:rPr>
          <w:szCs w:val="24"/>
        </w:rPr>
      </w:pPr>
      <w:r>
        <w:rPr>
          <w:szCs w:val="24"/>
        </w:rPr>
        <w:t>Švietimo, mokslo ir sporto ministrė</w:t>
      </w:r>
      <w:r>
        <w:rPr>
          <w:szCs w:val="24"/>
        </w:rPr>
        <w:tab/>
      </w:r>
      <w:r>
        <w:rPr>
          <w:szCs w:val="24"/>
        </w:rPr>
        <w:tab/>
      </w:r>
      <w:r>
        <w:rPr>
          <w:szCs w:val="24"/>
        </w:rPr>
        <w:tab/>
      </w:r>
      <w:r>
        <w:rPr>
          <w:szCs w:val="24"/>
        </w:rPr>
        <w:tab/>
      </w:r>
      <w:r>
        <w:rPr>
          <w:szCs w:val="24"/>
        </w:rPr>
        <w:tab/>
      </w:r>
      <w:r>
        <w:rPr>
          <w:szCs w:val="24"/>
        </w:rPr>
        <w:tab/>
        <w:t>Jurgita</w:t>
      </w:r>
      <w:r>
        <w:rPr>
          <w:szCs w:val="24"/>
        </w:rPr>
        <w:tab/>
      </w:r>
      <w:proofErr w:type="spellStart"/>
      <w:r>
        <w:rPr>
          <w:szCs w:val="24"/>
        </w:rPr>
        <w:t>Šiugždinienė</w:t>
      </w:r>
      <w:proofErr w:type="spellEnd"/>
    </w:p>
    <w:p w:rsidR="005F7154" w:rsidRDefault="00D04EDB">
      <w:pPr>
        <w:suppressAutoHyphens/>
        <w:ind w:firstLine="2246"/>
        <w:textAlignment w:val="baseline"/>
      </w:pPr>
    </w:p>
    <w:bookmarkStart w:id="0" w:name="_GoBack" w:displacedByCustomXml="next"/>
    <w:bookmarkEnd w:id="0" w:displacedByCustomXml="next"/>
    <w:sectPr w:rsidR="005F7154" w:rsidSect="00D04EDB">
      <w:headerReference w:type="even" r:id="rId12"/>
      <w:headerReference w:type="default" r:id="rId13"/>
      <w:footerReference w:type="even" r:id="rId14"/>
      <w:footerReference w:type="default" r:id="rId15"/>
      <w:headerReference w:type="first" r:id="rId16"/>
      <w:footerReference w:type="first" r:id="rId17"/>
      <w:pgSz w:w="12240" w:h="15840"/>
      <w:pgMar w:top="1701" w:right="567" w:bottom="1134" w:left="1701" w:header="708" w:footer="708"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54" w:rsidRDefault="00D04EDB">
      <w:pPr>
        <w:widowControl w:val="0"/>
        <w:suppressAutoHyphens/>
        <w:textAlignment w:val="baseline"/>
      </w:pPr>
      <w:r>
        <w:separator/>
      </w:r>
    </w:p>
  </w:endnote>
  <w:endnote w:type="continuationSeparator" w:id="0">
    <w:p w:rsidR="005F7154" w:rsidRDefault="00D04EDB">
      <w:pPr>
        <w:widowControl w:val="0"/>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54" w:rsidRDefault="005F7154">
    <w:pPr>
      <w:suppressAutoHyphens/>
      <w:textAlignment w:val="base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54" w:rsidRDefault="005F7154">
    <w:pPr>
      <w:tabs>
        <w:tab w:val="center" w:pos="4680"/>
        <w:tab w:val="right" w:pos="9360"/>
      </w:tabs>
      <w:suppressAutoHyphens/>
      <w:textAlignment w:val="baseline"/>
      <w:rPr>
        <w:sz w:val="22"/>
        <w:szCs w:val="2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54" w:rsidRDefault="005F7154">
    <w:pPr>
      <w:tabs>
        <w:tab w:val="center" w:pos="4680"/>
        <w:tab w:val="right" w:pos="9360"/>
      </w:tabs>
      <w:suppressAutoHyphens/>
      <w:textAlignment w:val="baseline"/>
      <w:rPr>
        <w:sz w:val="22"/>
        <w:szCs w:val="2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54" w:rsidRDefault="00D04EDB">
      <w:pPr>
        <w:widowControl w:val="0"/>
        <w:suppressAutoHyphens/>
        <w:textAlignment w:val="baseline"/>
      </w:pPr>
      <w:r>
        <w:rPr>
          <w:color w:val="000000"/>
        </w:rPr>
        <w:separator/>
      </w:r>
    </w:p>
  </w:footnote>
  <w:footnote w:type="continuationSeparator" w:id="0">
    <w:p w:rsidR="005F7154" w:rsidRDefault="00D04EDB">
      <w:pPr>
        <w:widowControl w:val="0"/>
        <w:suppressAutoHyphens/>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54" w:rsidRDefault="005F7154">
    <w:pPr>
      <w:suppressAutoHyphens/>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54" w:rsidRDefault="00D04EDB">
    <w:pPr>
      <w:tabs>
        <w:tab w:val="center" w:pos="4680"/>
        <w:tab w:val="right" w:pos="9360"/>
      </w:tabs>
      <w:suppressAutoHyphens/>
      <w:jc w:val="center"/>
      <w:textAlignment w:val="baseline"/>
    </w:pPr>
    <w:r>
      <w:rPr>
        <w:sz w:val="22"/>
        <w:szCs w:val="22"/>
        <w:lang w:val="en-US"/>
      </w:rPr>
      <w:fldChar w:fldCharType="begin"/>
    </w:r>
    <w:r>
      <w:rPr>
        <w:sz w:val="22"/>
        <w:szCs w:val="22"/>
        <w:lang w:val="en-US"/>
      </w:rPr>
      <w:instrText xml:space="preserve"> PAGE </w:instrText>
    </w:r>
    <w:r>
      <w:rPr>
        <w:sz w:val="22"/>
        <w:szCs w:val="22"/>
        <w:lang w:val="en-US"/>
      </w:rPr>
      <w:fldChar w:fldCharType="separate"/>
    </w:r>
    <w:r>
      <w:rPr>
        <w:noProof/>
        <w:sz w:val="22"/>
        <w:szCs w:val="22"/>
        <w:lang w:val="en-US"/>
      </w:rPr>
      <w:t>2</w:t>
    </w:r>
    <w:r>
      <w:rPr>
        <w:sz w:val="22"/>
        <w:szCs w:val="22"/>
        <w:lang w:val="en-US"/>
      </w:rPr>
      <w:fldChar w:fldCharType="end"/>
    </w:r>
  </w:p>
  <w:p w:rsidR="005F7154" w:rsidRDefault="005F7154">
    <w:pPr>
      <w:tabs>
        <w:tab w:val="center" w:pos="4680"/>
        <w:tab w:val="right" w:pos="9360"/>
      </w:tabs>
      <w:suppressAutoHyphens/>
      <w:textAlignment w:val="baseline"/>
      <w:rPr>
        <w:sz w:val="22"/>
        <w:szCs w:val="2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54" w:rsidRDefault="005F7154">
    <w:pPr>
      <w:suppressAutoHyphens/>
      <w:textAlignment w:val="base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F1"/>
    <w:rsid w:val="005F7154"/>
    <w:rsid w:val="00BD74F1"/>
    <w:rsid w:val="00D04E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04ED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04E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glossaryDocument" Target="glossary/document.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0A"/>
    <w:rsid w:val="00711F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11F0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11F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56AC3-5518-4A75-9284-B79C8609B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E85D5A-37C0-401D-85C5-2C7707652F00}">
  <ds:schemaRefs>
    <ds:schemaRef ds:uri="http://schemas.microsoft.com/sharepoint/v3/contenttype/forms"/>
  </ds:schemaRefs>
</ds:datastoreItem>
</file>

<file path=customXml/itemProps3.xml><?xml version="1.0" encoding="utf-8"?>
<ds:datastoreItem xmlns:ds="http://schemas.openxmlformats.org/officeDocument/2006/customXml" ds:itemID="{589A351F-5558-4E75-9036-9D98485EF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1938</Words>
  <Characters>1106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8539ba04-34c3-4e02-b0cb-b001d8341c1a</vt:lpstr>
    </vt:vector>
  </TitlesOfParts>
  <Company>HP</Company>
  <LinksUpToDate>false</LinksUpToDate>
  <CharactersWithSpaces>3038</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2021-02-01T07:10:00Z</dcterms:created>
  <dc:creator>Violeta Janulioniene</dc:creator>
  <lastModifiedBy>DRAZDAUSKIENĖ Nijolė</lastModifiedBy>
  <dcterms:modified xsi:type="dcterms:W3CDTF">2021-02-01T11:32:00Z</dcterms:modified>
  <revision>3</revision>
  <dc:title>d2912115-372b-4af8-952b-0825086cb7e7</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0x010100D8ECFFBDDA118244861569856C5AC6C3</vt:lpwstr>
  </property>
  <property fmtid="{D5CDD505-2E9C-101B-9397-08002B2CF9AE}" pid="4" name="DocSecurity">
    <vt:r8>0</vt:r8>
  </property>
  <property fmtid="{D5CDD505-2E9C-101B-9397-08002B2CF9AE}" pid="5" name="HyperlinksChanged">
    <vt:bool>false</vt:bool>
  </property>
  <property fmtid="{D5CDD505-2E9C-101B-9397-08002B2CF9AE}" pid="6" name="Komentarai">
    <vt:lpwstr>Koreguota po vizavimo</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